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3B497D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FB4BC2">
        <w:rPr>
          <w:rFonts w:ascii="仿宋_GB2312" w:hAnsi="华文中宋" w:hint="eastAsia"/>
          <w:bCs/>
          <w:sz w:val="24"/>
        </w:rPr>
        <w:t>顾能华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FB4BC2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D5A74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4D5A74">
        <w:rPr>
          <w:rFonts w:ascii="仿宋_GB2312" w:hAnsi="华文中宋" w:hint="eastAsia"/>
          <w:bCs/>
          <w:sz w:val="24"/>
        </w:rPr>
        <w:t>11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FB4BC2" w:rsidP="00FB4B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GIII智能柴动螺杆空压机控制系统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DA3CE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/>
                <w:sz w:val="21"/>
                <w:szCs w:val="21"/>
              </w:rPr>
              <w:t>2018.10.10-2020.04.01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浙江纪超自动化技术有限公司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顾能华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B4BC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B4BC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王海伦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项目协调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柴国飞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硬件开发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张露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软件设计</w:t>
            </w: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朱莉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硬件测试</w:t>
            </w: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韩雪龙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B4BC2">
              <w:rPr>
                <w:rFonts w:ascii="宋体" w:eastAsia="宋体" w:hAnsi="宋体" w:hint="eastAsia"/>
                <w:sz w:val="21"/>
                <w:szCs w:val="21"/>
              </w:rPr>
              <w:t>抗干扰设计</w:t>
            </w: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FB4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FB4BC2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FB4B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项目调研，硬件设计</w:t>
            </w: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FB4BC2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FB4BC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硬件设计完成</w:t>
            </w: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B4BC2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3B497D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82" w:rsidRDefault="00630F82">
      <w:r>
        <w:separator/>
      </w:r>
    </w:p>
  </w:endnote>
  <w:endnote w:type="continuationSeparator" w:id="1">
    <w:p w:rsidR="00630F82" w:rsidRDefault="0063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82" w:rsidRDefault="00630F82">
      <w:r>
        <w:separator/>
      </w:r>
    </w:p>
  </w:footnote>
  <w:footnote w:type="continuationSeparator" w:id="1">
    <w:p w:rsidR="00630F82" w:rsidRDefault="0063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B497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30F82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4BC2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aa</cp:lastModifiedBy>
  <cp:revision>3</cp:revision>
  <cp:lastPrinted>2012-12-19T09:11:00Z</cp:lastPrinted>
  <dcterms:created xsi:type="dcterms:W3CDTF">2018-12-13T05:58:00Z</dcterms:created>
  <dcterms:modified xsi:type="dcterms:W3CDTF">2019-01-04T01:53:00Z</dcterms:modified>
</cp:coreProperties>
</file>