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92D7">
      <w:pPr>
        <w:jc w:val="center"/>
        <w:rPr>
          <w:rStyle w:val="12"/>
          <w:rFonts w:ascii="方正小标宋简体" w:eastAsia="方正小标宋简体"/>
          <w:bCs w:val="0"/>
          <w:color w:val="000000"/>
          <w:sz w:val="36"/>
          <w:szCs w:val="36"/>
        </w:rPr>
      </w:pPr>
      <w:r>
        <w:rPr>
          <w:rStyle w:val="12"/>
          <w:rFonts w:hint="eastAsia" w:ascii="方正小标宋简体" w:eastAsia="方正小标宋简体"/>
          <w:color w:val="000000"/>
          <w:sz w:val="36"/>
          <w:szCs w:val="36"/>
        </w:rPr>
        <w:t>浙江省科学技术奖</w:t>
      </w:r>
      <w:r>
        <w:rPr>
          <w:rStyle w:val="12"/>
          <w:rFonts w:ascii="方正小标宋简体" w:eastAsia="方正小标宋简体"/>
          <w:color w:val="000000"/>
          <w:sz w:val="36"/>
          <w:szCs w:val="36"/>
        </w:rPr>
        <w:t>公示信息表</w:t>
      </w:r>
      <w:r>
        <w:rPr>
          <w:rStyle w:val="12"/>
          <w:rFonts w:hint="eastAsia" w:ascii="仿宋_GB2312" w:eastAsia="仿宋_GB2312"/>
          <w:color w:val="000000"/>
          <w:sz w:val="32"/>
          <w:szCs w:val="32"/>
        </w:rPr>
        <w:t>（单位提名）</w:t>
      </w:r>
    </w:p>
    <w:p w14:paraId="5A7F92D8">
      <w:pPr>
        <w:spacing w:line="440" w:lineRule="exact"/>
        <w:rPr>
          <w:rFonts w:hint="eastAsia"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提名奖项：技术发明奖</w:t>
      </w:r>
    </w:p>
    <w:tbl>
      <w:tblPr>
        <w:tblStyle w:val="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A7F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5A7F92D9">
            <w:pPr>
              <w:jc w:val="center"/>
              <w:rPr>
                <w:rStyle w:val="12"/>
                <w:rFonts w:hint="default" w:ascii="Times New Roman" w:hAnsi="Times New Roman" w:eastAsia="仿宋_GB2312" w:cs="Times New Roman"/>
                <w:b w:val="0"/>
                <w:color w:val="000000"/>
                <w:sz w:val="28"/>
              </w:rPr>
            </w:pPr>
            <w:r>
              <w:rPr>
                <w:rStyle w:val="12"/>
                <w:rFonts w:hint="default" w:ascii="Times New Roman" w:hAnsi="Times New Roman" w:eastAsia="仿宋_GB2312" w:cs="Times New Roman"/>
                <w:color w:val="000000"/>
                <w:sz w:val="28"/>
              </w:rPr>
              <w:t>成果名称</w:t>
            </w:r>
          </w:p>
        </w:tc>
        <w:tc>
          <w:tcPr>
            <w:tcW w:w="6237" w:type="dxa"/>
            <w:vAlign w:val="center"/>
          </w:tcPr>
          <w:p w14:paraId="5A7F92DA">
            <w:pPr>
              <w:jc w:val="center"/>
              <w:rPr>
                <w:rStyle w:val="12"/>
                <w:rFonts w:hint="default" w:ascii="Times New Roman" w:hAnsi="Times New Roman" w:eastAsia="仿宋_GB2312" w:cs="Times New Roman"/>
                <w:b w:val="0"/>
                <w:color w:val="000000"/>
                <w:sz w:val="28"/>
              </w:rPr>
            </w:pPr>
            <w:r>
              <w:rPr>
                <w:rFonts w:hint="default" w:ascii="Times New Roman" w:hAnsi="Times New Roman" w:eastAsia="仿宋_GB2312" w:cs="Times New Roman"/>
                <w:bCs/>
                <w:color w:val="000000"/>
                <w:sz w:val="28"/>
                <w:szCs w:val="24"/>
              </w:rPr>
              <w:t>燃烧余热半导体温差发电关键技术及应用</w:t>
            </w:r>
          </w:p>
        </w:tc>
      </w:tr>
      <w:tr w14:paraId="5A7F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5A7F92DC">
            <w:pPr>
              <w:jc w:val="center"/>
              <w:rPr>
                <w:rStyle w:val="12"/>
                <w:rFonts w:hint="default" w:ascii="Times New Roman" w:hAnsi="Times New Roman" w:eastAsia="仿宋_GB2312" w:cs="Times New Roman"/>
                <w:b w:val="0"/>
                <w:color w:val="000000"/>
                <w:sz w:val="28"/>
              </w:rPr>
            </w:pPr>
            <w:r>
              <w:rPr>
                <w:rStyle w:val="12"/>
                <w:rFonts w:hint="default" w:ascii="Times New Roman" w:hAnsi="Times New Roman" w:eastAsia="仿宋_GB2312" w:cs="Times New Roman"/>
                <w:color w:val="000000"/>
                <w:sz w:val="28"/>
              </w:rPr>
              <w:t>提名等级</w:t>
            </w:r>
          </w:p>
        </w:tc>
        <w:tc>
          <w:tcPr>
            <w:tcW w:w="6237" w:type="dxa"/>
            <w:vAlign w:val="center"/>
          </w:tcPr>
          <w:p w14:paraId="5A7F92DD">
            <w:pPr>
              <w:jc w:val="center"/>
              <w:rPr>
                <w:rStyle w:val="12"/>
                <w:rFonts w:hint="default" w:ascii="Times New Roman" w:hAnsi="Times New Roman" w:eastAsia="仿宋_GB2312" w:cs="Times New Roman"/>
                <w:b w:val="0"/>
                <w:color w:val="000000"/>
                <w:sz w:val="28"/>
              </w:rPr>
            </w:pPr>
            <w:r>
              <w:rPr>
                <w:rFonts w:hint="default" w:ascii="Times New Roman" w:hAnsi="Times New Roman" w:eastAsia="仿宋_GB2312" w:cs="Times New Roman"/>
                <w:bCs/>
                <w:color w:val="000000"/>
                <w:sz w:val="28"/>
                <w:szCs w:val="24"/>
              </w:rPr>
              <w:t>一等奖</w:t>
            </w:r>
          </w:p>
        </w:tc>
      </w:tr>
      <w:tr w14:paraId="5A7F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A7F92DF">
            <w:pPr>
              <w:spacing w:line="440" w:lineRule="exact"/>
              <w:jc w:val="center"/>
              <w:rPr>
                <w:rFonts w:hint="default" w:ascii="Times New Roman" w:hAnsi="Times New Roman" w:eastAsia="仿宋_GB2312" w:cs="Times New Roman"/>
                <w:b/>
                <w:bCs w:val="0"/>
                <w:color w:val="000000" w:themeColor="text1"/>
                <w:sz w:val="28"/>
                <w:szCs w:val="24"/>
                <w14:textFill>
                  <w14:solidFill>
                    <w14:schemeClr w14:val="tx1"/>
                  </w14:solidFill>
                </w14:textFill>
              </w:rPr>
            </w:pPr>
            <w:r>
              <w:rPr>
                <w:rFonts w:hint="default" w:ascii="Times New Roman" w:hAnsi="Times New Roman" w:eastAsia="仿宋_GB2312" w:cs="Times New Roman"/>
                <w:b/>
                <w:bCs w:val="0"/>
                <w:color w:val="000000" w:themeColor="text1"/>
                <w:sz w:val="28"/>
                <w:szCs w:val="24"/>
                <w14:textFill>
                  <w14:solidFill>
                    <w14:schemeClr w14:val="tx1"/>
                  </w14:solidFill>
                </w14:textFill>
              </w:rPr>
              <w:t>提名书</w:t>
            </w:r>
          </w:p>
          <w:p w14:paraId="5A7F92E0">
            <w:pPr>
              <w:spacing w:line="440" w:lineRule="exact"/>
              <w:jc w:val="center"/>
              <w:rPr>
                <w:rFonts w:hint="default" w:ascii="Times New Roman" w:hAnsi="Times New Roman" w:eastAsia="仿宋_GB2312" w:cs="Times New Roman"/>
                <w:b/>
                <w:bCs w:val="0"/>
                <w:color w:val="000000" w:themeColor="text1"/>
                <w:sz w:val="28"/>
                <w:szCs w:val="24"/>
                <w14:textFill>
                  <w14:solidFill>
                    <w14:schemeClr w14:val="tx1"/>
                  </w14:solidFill>
                </w14:textFill>
              </w:rPr>
            </w:pPr>
            <w:r>
              <w:rPr>
                <w:rFonts w:hint="default" w:ascii="Times New Roman" w:hAnsi="Times New Roman" w:eastAsia="仿宋_GB2312" w:cs="Times New Roman"/>
                <w:b/>
                <w:bCs w:val="0"/>
                <w:color w:val="000000" w:themeColor="text1"/>
                <w:sz w:val="28"/>
                <w:szCs w:val="24"/>
                <w14:textFill>
                  <w14:solidFill>
                    <w14:schemeClr w14:val="tx1"/>
                  </w14:solidFill>
                </w14:textFill>
              </w:rPr>
              <w:t>相关内容</w:t>
            </w:r>
          </w:p>
        </w:tc>
        <w:tc>
          <w:tcPr>
            <w:tcW w:w="6237" w:type="dxa"/>
            <w:vAlign w:val="center"/>
          </w:tcPr>
          <w:p w14:paraId="5A7F92E1">
            <w:pPr>
              <w:spacing w:line="440" w:lineRule="exact"/>
              <w:jc w:val="left"/>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bCs/>
                <w:color w:val="000000" w:themeColor="text1"/>
                <w:sz w:val="24"/>
                <w:szCs w:val="24"/>
                <w14:textFill>
                  <w14:solidFill>
                    <w14:schemeClr w14:val="tx1"/>
                  </w14:solidFill>
                </w14:textFill>
              </w:rPr>
              <w:t>详见附件。</w:t>
            </w:r>
          </w:p>
        </w:tc>
      </w:tr>
      <w:tr w14:paraId="5A7F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5A7F92E3">
            <w:pPr>
              <w:spacing w:line="440" w:lineRule="exact"/>
              <w:jc w:val="center"/>
              <w:rPr>
                <w:rFonts w:hint="default" w:ascii="Times New Roman" w:hAnsi="Times New Roman" w:eastAsia="仿宋_GB2312" w:cs="Times New Roman"/>
                <w:b/>
                <w:bCs w:val="0"/>
                <w:color w:val="000000" w:themeColor="text1"/>
                <w:sz w:val="28"/>
                <w:szCs w:val="24"/>
                <w14:textFill>
                  <w14:solidFill>
                    <w14:schemeClr w14:val="tx1"/>
                  </w14:solidFill>
                </w14:textFill>
              </w:rPr>
            </w:pPr>
            <w:r>
              <w:rPr>
                <w:rFonts w:hint="default" w:ascii="Times New Roman" w:hAnsi="Times New Roman" w:eastAsia="仿宋_GB2312" w:cs="Times New Roman"/>
                <w:b/>
                <w:bCs w:val="0"/>
                <w:color w:val="000000" w:themeColor="text1"/>
                <w:sz w:val="28"/>
                <w:szCs w:val="24"/>
                <w14:textFill>
                  <w14:solidFill>
                    <w14:schemeClr w14:val="tx1"/>
                  </w14:solidFill>
                </w14:textFill>
              </w:rPr>
              <w:t>主要完成人</w:t>
            </w:r>
          </w:p>
        </w:tc>
        <w:tc>
          <w:tcPr>
            <w:tcW w:w="6237" w:type="dxa"/>
            <w:tcBorders>
              <w:left w:val="single" w:color="auto" w:sz="4" w:space="0"/>
            </w:tcBorders>
            <w:vAlign w:val="center"/>
          </w:tcPr>
          <w:p w14:paraId="5A7F92F0">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李国能，排名1，教授，浙江科技大学；</w:t>
            </w:r>
          </w:p>
          <w:p w14:paraId="40183026">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郑友取，排名2，教授，浙江科技大学</w:t>
            </w:r>
            <w:r>
              <w:rPr>
                <w:rFonts w:hint="eastAsia" w:eastAsia="仿宋_GB2312" w:cs="Times New Roman"/>
                <w:bCs/>
                <w:sz w:val="24"/>
                <w:szCs w:val="24"/>
                <w:lang w:eastAsia="zh-CN"/>
              </w:rPr>
              <w:t>、衢州学院</w:t>
            </w:r>
            <w:bookmarkStart w:id="0" w:name="_GoBack"/>
            <w:bookmarkEnd w:id="0"/>
            <w:r>
              <w:rPr>
                <w:rFonts w:hint="default" w:ascii="Times New Roman" w:hAnsi="Times New Roman" w:eastAsia="仿宋_GB2312" w:cs="Times New Roman"/>
                <w:bCs/>
                <w:sz w:val="24"/>
                <w:szCs w:val="24"/>
              </w:rPr>
              <w:t>；</w:t>
            </w:r>
          </w:p>
          <w:p w14:paraId="6CE8C761">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蒋学利，排名3，高级工程师，宁波宝工电器有限公司；</w:t>
            </w:r>
          </w:p>
          <w:p w14:paraId="15F2193E">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籍  伟，排名4，高级工程师，浙江富兴海运有限公司；</w:t>
            </w:r>
          </w:p>
          <w:p w14:paraId="10688CE6">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李  珂，排名5，副教授，浙江科技大学；</w:t>
            </w:r>
          </w:p>
          <w:p w14:paraId="259A9645">
            <w:pPr>
              <w:spacing w:line="44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周军枢，排名6，高级工程师，宁波宝工电器有限公司</w:t>
            </w:r>
          </w:p>
        </w:tc>
      </w:tr>
      <w:tr w14:paraId="5A7F9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A7F92F2">
            <w:pPr>
              <w:spacing w:line="440" w:lineRule="exact"/>
              <w:jc w:val="center"/>
              <w:rPr>
                <w:rFonts w:hint="default" w:ascii="Times New Roman" w:hAnsi="Times New Roman" w:eastAsia="仿宋_GB2312" w:cs="Times New Roman"/>
                <w:b/>
                <w:bCs w:val="0"/>
                <w:color w:val="000000" w:themeColor="text1"/>
                <w:sz w:val="24"/>
                <w:szCs w:val="24"/>
                <w14:textFill>
                  <w14:solidFill>
                    <w14:schemeClr w14:val="tx1"/>
                  </w14:solidFill>
                </w14:textFill>
              </w:rPr>
            </w:pPr>
            <w:r>
              <w:rPr>
                <w:rFonts w:hint="default" w:ascii="Times New Roman" w:hAnsi="Times New Roman" w:eastAsia="仿宋_GB2312" w:cs="Times New Roman"/>
                <w:b/>
                <w:bCs w:val="0"/>
                <w:color w:val="000000" w:themeColor="text1"/>
                <w:sz w:val="28"/>
                <w:szCs w:val="24"/>
                <w14:textFill>
                  <w14:solidFill>
                    <w14:schemeClr w14:val="tx1"/>
                  </w14:solidFill>
                </w14:textFill>
              </w:rPr>
              <w:t>主要完成单位</w:t>
            </w:r>
          </w:p>
        </w:tc>
        <w:tc>
          <w:tcPr>
            <w:tcW w:w="6237" w:type="dxa"/>
            <w:tcBorders>
              <w:left w:val="single" w:color="auto" w:sz="4" w:space="0"/>
            </w:tcBorders>
            <w:vAlign w:val="center"/>
          </w:tcPr>
          <w:p w14:paraId="5A7F92F3">
            <w:pPr>
              <w:numPr>
                <w:ilvl w:val="0"/>
                <w:numId w:val="0"/>
              </w:numPr>
              <w:spacing w:line="440" w:lineRule="exact"/>
              <w:jc w:val="left"/>
              <w:rPr>
                <w:rFonts w:hint="default" w:ascii="Times New Roman" w:hAnsi="Times New Roman" w:eastAsia="仿宋_GB2312" w:cs="Times New Roman"/>
                <w:bCs/>
                <w:sz w:val="24"/>
                <w:szCs w:val="24"/>
              </w:rPr>
            </w:pPr>
            <w:r>
              <w:rPr>
                <w:rFonts w:hint="eastAsia" w:eastAsia="仿宋_GB2312"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24"/>
                <w:szCs w:val="24"/>
                <w14:textFill>
                  <w14:solidFill>
                    <w14:schemeClr w14:val="tx1"/>
                  </w14:solidFill>
                </w14:textFill>
              </w:rPr>
              <w:t>单位名称：</w:t>
            </w:r>
            <w:r>
              <w:rPr>
                <w:rFonts w:hint="default" w:ascii="Times New Roman" w:hAnsi="Times New Roman" w:eastAsia="仿宋_GB2312" w:cs="Times New Roman"/>
                <w:bCs/>
                <w:sz w:val="24"/>
                <w:szCs w:val="24"/>
              </w:rPr>
              <w:t>浙江科技大学</w:t>
            </w:r>
          </w:p>
          <w:p w14:paraId="122A3C56">
            <w:pPr>
              <w:numPr>
                <w:ilvl w:val="0"/>
                <w:numId w:val="0"/>
              </w:numPr>
              <w:spacing w:line="440" w:lineRule="exact"/>
              <w:jc w:val="left"/>
              <w:rPr>
                <w:rFonts w:hint="default" w:ascii="Times New Roman" w:hAnsi="Times New Roman" w:eastAsia="仿宋_GB2312" w:cs="Times New Roman"/>
                <w:bCs/>
                <w:sz w:val="24"/>
                <w:szCs w:val="24"/>
              </w:rPr>
            </w:pPr>
            <w:r>
              <w:rPr>
                <w:rFonts w:hint="eastAsia" w:eastAsia="仿宋_GB2312"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24"/>
                <w:szCs w:val="24"/>
                <w14:textFill>
                  <w14:solidFill>
                    <w14:schemeClr w14:val="tx1"/>
                  </w14:solidFill>
                </w14:textFill>
              </w:rPr>
              <w:t>单位名称：</w:t>
            </w:r>
            <w:r>
              <w:rPr>
                <w:rFonts w:hint="default" w:ascii="Times New Roman" w:hAnsi="Times New Roman" w:eastAsia="仿宋_GB2312" w:cs="Times New Roman"/>
                <w:bCs/>
                <w:sz w:val="24"/>
                <w:szCs w:val="24"/>
              </w:rPr>
              <w:t>宁波宝工电器有限公司</w:t>
            </w:r>
          </w:p>
          <w:p w14:paraId="5A7F92F6">
            <w:pPr>
              <w:numPr>
                <w:ilvl w:val="0"/>
                <w:numId w:val="0"/>
              </w:numPr>
              <w:spacing w:line="440" w:lineRule="exact"/>
              <w:jc w:val="left"/>
              <w:rPr>
                <w:rFonts w:hint="default" w:ascii="Times New Roman" w:hAnsi="Times New Roman" w:eastAsia="仿宋_GB2312" w:cs="Times New Roman"/>
                <w:bCs/>
                <w:sz w:val="24"/>
                <w:szCs w:val="24"/>
              </w:rPr>
            </w:pPr>
            <w:r>
              <w:rPr>
                <w:rFonts w:hint="eastAsia" w:eastAsia="仿宋_GB2312"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24"/>
                <w:szCs w:val="24"/>
                <w14:textFill>
                  <w14:solidFill>
                    <w14:schemeClr w14:val="tx1"/>
                  </w14:solidFill>
                </w14:textFill>
              </w:rPr>
              <w:t>单位名称：</w:t>
            </w:r>
            <w:r>
              <w:rPr>
                <w:rFonts w:hint="default" w:ascii="Times New Roman" w:hAnsi="Times New Roman" w:eastAsia="仿宋_GB2312" w:cs="Times New Roman"/>
                <w:bCs/>
                <w:sz w:val="24"/>
                <w:szCs w:val="24"/>
              </w:rPr>
              <w:t>浙江富兴海运有限公司</w:t>
            </w:r>
          </w:p>
        </w:tc>
      </w:tr>
      <w:tr w14:paraId="5A7F9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A7F92F8">
            <w:pPr>
              <w:jc w:val="center"/>
              <w:rPr>
                <w:rStyle w:val="12"/>
                <w:rFonts w:hint="default" w:ascii="Times New Roman" w:hAnsi="Times New Roman" w:eastAsia="仿宋_GB2312" w:cs="Times New Roman"/>
                <w:b w:val="0"/>
                <w:color w:val="000000"/>
                <w:sz w:val="28"/>
                <w:szCs w:val="28"/>
              </w:rPr>
            </w:pPr>
            <w:r>
              <w:rPr>
                <w:rStyle w:val="12"/>
                <w:rFonts w:hint="default" w:ascii="Times New Roman" w:hAnsi="Times New Roman" w:eastAsia="仿宋_GB2312" w:cs="Times New Roman"/>
                <w:color w:val="000000"/>
                <w:sz w:val="28"/>
                <w:szCs w:val="28"/>
              </w:rPr>
              <w:t>提名单位</w:t>
            </w:r>
          </w:p>
        </w:tc>
        <w:tc>
          <w:tcPr>
            <w:tcW w:w="6237" w:type="dxa"/>
            <w:vAlign w:val="center"/>
          </w:tcPr>
          <w:p w14:paraId="5A7F92F9">
            <w:pPr>
              <w:contextualSpacing/>
              <w:jc w:val="center"/>
              <w:rPr>
                <w:rStyle w:val="12"/>
                <w:rFonts w:hint="default" w:ascii="Times New Roman" w:hAnsi="Times New Roman" w:eastAsia="仿宋_GB2312" w:cs="Times New Roman"/>
                <w:b w:val="0"/>
                <w:color w:val="000000"/>
              </w:rPr>
            </w:pPr>
            <w:r>
              <w:rPr>
                <w:rStyle w:val="12"/>
                <w:rFonts w:hint="default" w:ascii="Times New Roman" w:hAnsi="Times New Roman" w:eastAsia="仿宋_GB2312" w:cs="Times New Roman"/>
                <w:b w:val="0"/>
                <w:bCs w:val="0"/>
                <w:color w:val="000000"/>
                <w:kern w:val="0"/>
                <w:sz w:val="28"/>
              </w:rPr>
              <w:t>浙江省教育厅</w:t>
            </w:r>
          </w:p>
        </w:tc>
      </w:tr>
      <w:tr w14:paraId="5A7F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269" w:type="dxa"/>
            <w:vAlign w:val="center"/>
          </w:tcPr>
          <w:p w14:paraId="5A7F92FB">
            <w:pPr>
              <w:jc w:val="center"/>
              <w:rPr>
                <w:rStyle w:val="12"/>
                <w:rFonts w:hint="default" w:ascii="Times New Roman" w:hAnsi="Times New Roman" w:eastAsia="仿宋_GB2312" w:cs="Times New Roman"/>
                <w:b w:val="0"/>
                <w:color w:val="000000"/>
                <w:sz w:val="28"/>
                <w:szCs w:val="28"/>
              </w:rPr>
            </w:pPr>
            <w:r>
              <w:rPr>
                <w:rStyle w:val="12"/>
                <w:rFonts w:hint="default" w:ascii="Times New Roman" w:hAnsi="Times New Roman" w:eastAsia="仿宋_GB2312" w:cs="Times New Roman"/>
                <w:color w:val="000000"/>
                <w:sz w:val="28"/>
                <w:szCs w:val="28"/>
              </w:rPr>
              <w:t>提名意见</w:t>
            </w:r>
          </w:p>
        </w:tc>
        <w:tc>
          <w:tcPr>
            <w:tcW w:w="6237" w:type="dxa"/>
            <w:vAlign w:val="center"/>
          </w:tcPr>
          <w:p w14:paraId="52DF35E0">
            <w:pPr>
              <w:spacing w:line="4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现碳达峰碳中和是一场广泛而深刻的经济社会系统性变革，节能可贡献三分之一左右的二氧化碳减排份额，是最直接最有效的降碳途径，加快节能降碳先进技术研发和应用是实现“双碳”目标的重大举措。燃烧余热半导体温差发电技术是节能降碳领域的前沿技术，被世界主要大国列为颠覆性能源技术，面临着热源构筑、热场均衡、大功率转换等重大挑战。</w:t>
            </w:r>
          </w:p>
          <w:p w14:paraId="0A5A676E">
            <w:pPr>
              <w:spacing w:line="4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组在国家自然科学基金和浙江省重点研发计划等的持续资助下，历经15年科研攻关，发明了强预混高回热稳燃、非均匀温度场均温集热、多路等温均势阵列等多项燃烧余热半导体温差发电关键技术，攻克了“流动—燃烧—传热—发电”全链耦合的共性难题和核心技术，研制出多款高性能微小尺度燃烧器、协同被动与主动控制的高效均温集热器、多通道同壁温等电压的温差发电阵列系统，建立了具有自主知识产权的燃烧余热半导体温差发电技术体系。</w:t>
            </w:r>
          </w:p>
          <w:p w14:paraId="3F2A2DBA">
            <w:pPr>
              <w:spacing w:line="4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成果授权发明专利18项，研发产品在宁波宝工电器、浙能集团、中煤科工集团等企业得到了规模化工程应用，产品销往60余个国家，经济社会生态效益显著，为能源绿色低碳转型和我国“双碳”目标实现提供了基础理论和关键技术支撑。中国电机工程学会组织院士领衔的鉴定委员会认为该成果整体达到国际领先水平。</w:t>
            </w:r>
          </w:p>
          <w:p w14:paraId="5A7F9303">
            <w:pPr>
              <w:spacing w:line="440" w:lineRule="exact"/>
              <w:ind w:firstLine="480" w:firstLineChars="200"/>
              <w:jc w:val="left"/>
              <w:rPr>
                <w:rStyle w:val="12"/>
                <w:rFonts w:hint="default" w:ascii="Times New Roman" w:hAnsi="Times New Roman" w:eastAsia="仿宋_GB2312" w:cs="Times New Roman"/>
                <w:b w:val="0"/>
                <w:bCs w:val="0"/>
                <w:color w:val="000000" w:themeColor="text1"/>
                <w14:textFill>
                  <w14:solidFill>
                    <w14:schemeClr w14:val="tx1"/>
                  </w14:solidFill>
                </w14:textFill>
              </w:rPr>
            </w:pPr>
            <w:r>
              <w:rPr>
                <w:rFonts w:hint="default" w:ascii="Times New Roman" w:hAnsi="Times New Roman" w:eastAsia="仿宋_GB2312" w:cs="Times New Roman"/>
                <w:sz w:val="24"/>
                <w:szCs w:val="24"/>
              </w:rPr>
              <w:t>提名该成果为浙江省技术发明一等奖。</w:t>
            </w:r>
          </w:p>
        </w:tc>
      </w:tr>
    </w:tbl>
    <w:p w14:paraId="4D1192B0">
      <w:pPr>
        <w:jc w:val="center"/>
        <w:rPr>
          <w:rFonts w:hint="default" w:ascii="Times New Roman" w:hAnsi="Times New Roman" w:eastAsia="仿宋_GB2312" w:cs="Times New Roman"/>
          <w:sz w:val="32"/>
          <w:szCs w:val="22"/>
        </w:rPr>
        <w:sectPr>
          <w:pgSz w:w="11906" w:h="16838"/>
          <w:pgMar w:top="1440" w:right="1276" w:bottom="1440" w:left="1797" w:header="709" w:footer="709" w:gutter="0"/>
          <w:cols w:space="708" w:num="1"/>
          <w:docGrid w:linePitch="360" w:charSpace="0"/>
        </w:sectPr>
      </w:pPr>
    </w:p>
    <w:p w14:paraId="2062CE11">
      <w:pPr>
        <w:jc w:val="left"/>
        <w:rPr>
          <w:rFonts w:eastAsia="方正黑体简体"/>
          <w:sz w:val="32"/>
          <w:szCs w:val="22"/>
        </w:rPr>
      </w:pPr>
      <w:r>
        <w:rPr>
          <w:rFonts w:eastAsia="方正黑体简体"/>
          <w:sz w:val="32"/>
          <w:szCs w:val="22"/>
        </w:rPr>
        <w:t>附件1：主要知识产权和标准规范目录</w:t>
      </w:r>
    </w:p>
    <w:tbl>
      <w:tblPr>
        <w:tblStyle w:val="7"/>
        <w:tblW w:w="144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05"/>
        <w:gridCol w:w="2577"/>
        <w:gridCol w:w="992"/>
        <w:gridCol w:w="1655"/>
        <w:gridCol w:w="1102"/>
        <w:gridCol w:w="1565"/>
        <w:gridCol w:w="1984"/>
        <w:gridCol w:w="1559"/>
        <w:gridCol w:w="1748"/>
      </w:tblGrid>
      <w:tr w14:paraId="1F7295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26BA4726">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知识产权</w:t>
            </w:r>
          </w:p>
          <w:p w14:paraId="534848DB">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（标准规范）类别</w:t>
            </w:r>
          </w:p>
        </w:tc>
        <w:tc>
          <w:tcPr>
            <w:tcW w:w="2577" w:type="dxa"/>
            <w:vAlign w:val="center"/>
          </w:tcPr>
          <w:p w14:paraId="171FE169">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知识产权（标准规范）具体名称</w:t>
            </w:r>
          </w:p>
        </w:tc>
        <w:tc>
          <w:tcPr>
            <w:tcW w:w="992" w:type="dxa"/>
            <w:vAlign w:val="center"/>
          </w:tcPr>
          <w:p w14:paraId="3D17498B">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国家</w:t>
            </w:r>
          </w:p>
          <w:p w14:paraId="416D2F84">
            <w:pPr>
              <w:jc w:val="center"/>
              <w:rPr>
                <w:rFonts w:hint="eastAsia" w:ascii="仿宋_GB2312" w:hAnsi="仿宋_GB2312" w:eastAsia="仿宋_GB2312" w:cs="仿宋_GB2312"/>
                <w:bCs/>
                <w:snapToGrid w:val="0"/>
                <w:kern w:val="0"/>
                <w:sz w:val="24"/>
                <w:szCs w:val="21"/>
              </w:rPr>
            </w:pPr>
            <w:r>
              <w:rPr>
                <w:rFonts w:hint="eastAsia" w:ascii="仿宋_GB2312" w:hAnsi="仿宋_GB2312" w:eastAsia="仿宋_GB2312" w:cs="仿宋_GB2312"/>
                <w:bCs/>
                <w:snapToGrid w:val="0"/>
                <w:kern w:val="0"/>
                <w:sz w:val="24"/>
                <w:szCs w:val="21"/>
              </w:rPr>
              <w:t>（地区）</w:t>
            </w:r>
          </w:p>
        </w:tc>
        <w:tc>
          <w:tcPr>
            <w:tcW w:w="1655" w:type="dxa"/>
            <w:vAlign w:val="center"/>
          </w:tcPr>
          <w:p w14:paraId="14C4A283">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授权号</w:t>
            </w:r>
          </w:p>
          <w:p w14:paraId="569B40F9">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（标准规范编号）</w:t>
            </w:r>
          </w:p>
        </w:tc>
        <w:tc>
          <w:tcPr>
            <w:tcW w:w="1102" w:type="dxa"/>
            <w:vAlign w:val="center"/>
          </w:tcPr>
          <w:p w14:paraId="1D1871F1">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授权（标准发布）日期</w:t>
            </w:r>
          </w:p>
        </w:tc>
        <w:tc>
          <w:tcPr>
            <w:tcW w:w="1565" w:type="dxa"/>
            <w:vAlign w:val="center"/>
          </w:tcPr>
          <w:p w14:paraId="4DD7EA17">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证书编号（标准规范批准发布部门）</w:t>
            </w:r>
          </w:p>
        </w:tc>
        <w:tc>
          <w:tcPr>
            <w:tcW w:w="1984" w:type="dxa"/>
            <w:vAlign w:val="center"/>
          </w:tcPr>
          <w:p w14:paraId="6F3C4F64">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权利人（标准规范起草单位）</w:t>
            </w:r>
          </w:p>
        </w:tc>
        <w:tc>
          <w:tcPr>
            <w:tcW w:w="1559" w:type="dxa"/>
            <w:vAlign w:val="center"/>
          </w:tcPr>
          <w:p w14:paraId="77BEA3C3">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发明人（标准规范起草人）</w:t>
            </w:r>
          </w:p>
        </w:tc>
        <w:tc>
          <w:tcPr>
            <w:tcW w:w="1748" w:type="dxa"/>
            <w:vAlign w:val="center"/>
          </w:tcPr>
          <w:p w14:paraId="679D7A88">
            <w:pPr>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发明专利（标准规范）有效状态</w:t>
            </w:r>
          </w:p>
        </w:tc>
      </w:tr>
      <w:tr w14:paraId="18D2A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09E36D1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74DC4A17">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温差发电机的导热结构以及温差发电机</w:t>
            </w:r>
          </w:p>
        </w:tc>
        <w:tc>
          <w:tcPr>
            <w:tcW w:w="992" w:type="dxa"/>
            <w:vAlign w:val="center"/>
          </w:tcPr>
          <w:p w14:paraId="42134C8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796C3175">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 201710240752.9</w:t>
            </w:r>
          </w:p>
        </w:tc>
        <w:tc>
          <w:tcPr>
            <w:tcW w:w="1102" w:type="dxa"/>
            <w:vAlign w:val="center"/>
          </w:tcPr>
          <w:p w14:paraId="46B241D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2023年8月25日</w:t>
            </w:r>
          </w:p>
        </w:tc>
        <w:tc>
          <w:tcPr>
            <w:tcW w:w="1565" w:type="dxa"/>
            <w:vAlign w:val="center"/>
          </w:tcPr>
          <w:p w14:paraId="3F9514D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第6270463号</w:t>
            </w:r>
          </w:p>
        </w:tc>
        <w:tc>
          <w:tcPr>
            <w:tcW w:w="1984" w:type="dxa"/>
            <w:vAlign w:val="center"/>
          </w:tcPr>
          <w:p w14:paraId="554D9BB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浙江科技学院（浙江中德科技促进中心）</w:t>
            </w:r>
          </w:p>
        </w:tc>
        <w:tc>
          <w:tcPr>
            <w:tcW w:w="1559" w:type="dxa"/>
            <w:vAlign w:val="center"/>
          </w:tcPr>
          <w:p w14:paraId="1D5B1E30">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李国能、郑友取</w:t>
            </w:r>
          </w:p>
        </w:tc>
        <w:tc>
          <w:tcPr>
            <w:tcW w:w="1748" w:type="dxa"/>
            <w:vAlign w:val="center"/>
          </w:tcPr>
          <w:p w14:paraId="4BA1CA17">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7773C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643B13C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49738FF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一种温差发电机及其燃烧器</w:t>
            </w:r>
          </w:p>
        </w:tc>
        <w:tc>
          <w:tcPr>
            <w:tcW w:w="992" w:type="dxa"/>
            <w:vAlign w:val="center"/>
          </w:tcPr>
          <w:p w14:paraId="7165DCA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6BCFC7A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ZL202010603697.7</w:t>
            </w:r>
          </w:p>
        </w:tc>
        <w:tc>
          <w:tcPr>
            <w:tcW w:w="1102" w:type="dxa"/>
            <w:vAlign w:val="center"/>
          </w:tcPr>
          <w:p w14:paraId="1D2BB77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2025年5月9日</w:t>
            </w:r>
          </w:p>
        </w:tc>
        <w:tc>
          <w:tcPr>
            <w:tcW w:w="1565" w:type="dxa"/>
            <w:vAlign w:val="center"/>
          </w:tcPr>
          <w:p w14:paraId="312A7A65">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第7928920号</w:t>
            </w:r>
          </w:p>
        </w:tc>
        <w:tc>
          <w:tcPr>
            <w:tcW w:w="1984" w:type="dxa"/>
            <w:vAlign w:val="center"/>
          </w:tcPr>
          <w:p w14:paraId="45A63B9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浙江富兴海运有限公司、浙江省能源集团有限公司煤炭及运输分公司、浙江科技学院</w:t>
            </w:r>
          </w:p>
        </w:tc>
        <w:tc>
          <w:tcPr>
            <w:tcW w:w="1559" w:type="dxa"/>
            <w:vAlign w:val="center"/>
          </w:tcPr>
          <w:p w14:paraId="154849C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籍伟、李军海、王华、叶飞行、李国能、郑友取</w:t>
            </w:r>
          </w:p>
        </w:tc>
        <w:tc>
          <w:tcPr>
            <w:tcW w:w="1748" w:type="dxa"/>
            <w:vAlign w:val="center"/>
          </w:tcPr>
          <w:p w14:paraId="1143F75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2B636A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2EBE4B60">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555E69BB">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一种温差发电机</w:t>
            </w:r>
          </w:p>
        </w:tc>
        <w:tc>
          <w:tcPr>
            <w:tcW w:w="992" w:type="dxa"/>
            <w:vAlign w:val="center"/>
          </w:tcPr>
          <w:p w14:paraId="220B0C3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1CDF84C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ZL2020 10603119.3</w:t>
            </w:r>
          </w:p>
        </w:tc>
        <w:tc>
          <w:tcPr>
            <w:tcW w:w="1102" w:type="dxa"/>
            <w:vAlign w:val="center"/>
          </w:tcPr>
          <w:p w14:paraId="45F66D8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2025年5月9日</w:t>
            </w:r>
          </w:p>
        </w:tc>
        <w:tc>
          <w:tcPr>
            <w:tcW w:w="1565" w:type="dxa"/>
            <w:vAlign w:val="center"/>
          </w:tcPr>
          <w:p w14:paraId="19D4078B">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第7931667号</w:t>
            </w:r>
          </w:p>
        </w:tc>
        <w:tc>
          <w:tcPr>
            <w:tcW w:w="1984" w:type="dxa"/>
            <w:vAlign w:val="center"/>
          </w:tcPr>
          <w:p w14:paraId="763227E0">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浙江富兴海运有限公司、浙江科技学院</w:t>
            </w:r>
          </w:p>
        </w:tc>
        <w:tc>
          <w:tcPr>
            <w:tcW w:w="1559" w:type="dxa"/>
            <w:vAlign w:val="center"/>
          </w:tcPr>
          <w:p w14:paraId="7D30A80B">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高汉明、籍伟、叶飞行、李国能、郑友取</w:t>
            </w:r>
          </w:p>
        </w:tc>
        <w:tc>
          <w:tcPr>
            <w:tcW w:w="1748" w:type="dxa"/>
            <w:vAlign w:val="center"/>
          </w:tcPr>
          <w:p w14:paraId="4EABAEF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7EEF1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1172E96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006FECBC">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折叠式生物质燃料温差发电机</w:t>
            </w:r>
          </w:p>
        </w:tc>
        <w:tc>
          <w:tcPr>
            <w:tcW w:w="992" w:type="dxa"/>
            <w:vAlign w:val="center"/>
          </w:tcPr>
          <w:p w14:paraId="60D9882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1448AE7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ZL201610649690.2</w:t>
            </w:r>
          </w:p>
        </w:tc>
        <w:tc>
          <w:tcPr>
            <w:tcW w:w="1102" w:type="dxa"/>
            <w:vAlign w:val="center"/>
          </w:tcPr>
          <w:p w14:paraId="435AB57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2018年3月23日</w:t>
            </w:r>
          </w:p>
        </w:tc>
        <w:tc>
          <w:tcPr>
            <w:tcW w:w="1565" w:type="dxa"/>
            <w:vAlign w:val="center"/>
          </w:tcPr>
          <w:p w14:paraId="09EFAD8F">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第2856190号</w:t>
            </w:r>
          </w:p>
        </w:tc>
        <w:tc>
          <w:tcPr>
            <w:tcW w:w="1984" w:type="dxa"/>
            <w:vAlign w:val="center"/>
          </w:tcPr>
          <w:p w14:paraId="4AE203F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浙江科技学院</w:t>
            </w:r>
          </w:p>
        </w:tc>
        <w:tc>
          <w:tcPr>
            <w:tcW w:w="1559" w:type="dxa"/>
            <w:vAlign w:val="center"/>
          </w:tcPr>
          <w:p w14:paraId="5BBE08D8">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李国能、郑友取</w:t>
            </w:r>
          </w:p>
        </w:tc>
        <w:tc>
          <w:tcPr>
            <w:tcW w:w="1748" w:type="dxa"/>
            <w:vAlign w:val="center"/>
          </w:tcPr>
          <w:p w14:paraId="24662D92">
            <w:pPr>
              <w:jc w:val="center"/>
              <w:rPr>
                <w:rFonts w:hint="eastAsia" w:ascii="仿宋_GB2312" w:hAnsi="仿宋_GB2312" w:eastAsia="仿宋_GB2312" w:cs="仿宋_GB2312"/>
                <w:color w:val="000000" w:themeColor="text1"/>
                <w:szCs w:val="21"/>
                <w:lang w:eastAsia="zh"/>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773373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200BFCB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06EA0685">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温差发电机的鼓风结构以及温差发电机</w:t>
            </w:r>
          </w:p>
        </w:tc>
        <w:tc>
          <w:tcPr>
            <w:tcW w:w="992" w:type="dxa"/>
            <w:vAlign w:val="center"/>
          </w:tcPr>
          <w:p w14:paraId="5B08C53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7A8322A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ZL201710240010.6</w:t>
            </w:r>
          </w:p>
        </w:tc>
        <w:tc>
          <w:tcPr>
            <w:tcW w:w="1102" w:type="dxa"/>
            <w:vAlign w:val="center"/>
          </w:tcPr>
          <w:p w14:paraId="13D53FAE">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2023年8月29日</w:t>
            </w:r>
          </w:p>
        </w:tc>
        <w:tc>
          <w:tcPr>
            <w:tcW w:w="1565" w:type="dxa"/>
            <w:vAlign w:val="center"/>
          </w:tcPr>
          <w:p w14:paraId="76F8B5F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第6280136号</w:t>
            </w:r>
          </w:p>
        </w:tc>
        <w:tc>
          <w:tcPr>
            <w:tcW w:w="1984" w:type="dxa"/>
            <w:vAlign w:val="center"/>
          </w:tcPr>
          <w:p w14:paraId="3E6A016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浙江科技学院（浙江中德科技促进中心）</w:t>
            </w:r>
          </w:p>
        </w:tc>
        <w:tc>
          <w:tcPr>
            <w:tcW w:w="1559" w:type="dxa"/>
            <w:vAlign w:val="center"/>
          </w:tcPr>
          <w:p w14:paraId="03C48E4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郑友取、李国能</w:t>
            </w:r>
          </w:p>
        </w:tc>
        <w:tc>
          <w:tcPr>
            <w:tcW w:w="1748" w:type="dxa"/>
            <w:vAlign w:val="center"/>
          </w:tcPr>
          <w:p w14:paraId="26932D0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7805DE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0BE9CA0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22F7628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基于微型旋流燃烧的温差发电机</w:t>
            </w:r>
          </w:p>
        </w:tc>
        <w:tc>
          <w:tcPr>
            <w:tcW w:w="992" w:type="dxa"/>
            <w:vAlign w:val="center"/>
          </w:tcPr>
          <w:p w14:paraId="078AB60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6F76B34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ZL2019 10870624.1</w:t>
            </w:r>
          </w:p>
        </w:tc>
        <w:tc>
          <w:tcPr>
            <w:tcW w:w="1102" w:type="dxa"/>
            <w:vAlign w:val="center"/>
          </w:tcPr>
          <w:p w14:paraId="37C8076D">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2025年10月10日</w:t>
            </w:r>
          </w:p>
        </w:tc>
        <w:tc>
          <w:tcPr>
            <w:tcW w:w="1565" w:type="dxa"/>
            <w:vAlign w:val="center"/>
          </w:tcPr>
          <w:p w14:paraId="0FD1C4A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第8343872号</w:t>
            </w:r>
          </w:p>
        </w:tc>
        <w:tc>
          <w:tcPr>
            <w:tcW w:w="1984" w:type="dxa"/>
            <w:vAlign w:val="center"/>
          </w:tcPr>
          <w:p w14:paraId="7D711AC5">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浙江科技学院</w:t>
            </w:r>
          </w:p>
        </w:tc>
        <w:tc>
          <w:tcPr>
            <w:tcW w:w="1559" w:type="dxa"/>
            <w:vAlign w:val="center"/>
          </w:tcPr>
          <w:p w14:paraId="771CDFF0">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郑友取、李国能</w:t>
            </w:r>
          </w:p>
        </w:tc>
        <w:tc>
          <w:tcPr>
            <w:tcW w:w="1748" w:type="dxa"/>
            <w:vAlign w:val="center"/>
          </w:tcPr>
          <w:p w14:paraId="29C7FB7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5D3195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142CA3BB">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0F920C4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一种利用温差发电的双管式雨生红球藻培养系统</w:t>
            </w:r>
          </w:p>
        </w:tc>
        <w:tc>
          <w:tcPr>
            <w:tcW w:w="992" w:type="dxa"/>
            <w:vAlign w:val="center"/>
          </w:tcPr>
          <w:p w14:paraId="70EE0DB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7790B3A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ZL202111598782.X</w:t>
            </w:r>
          </w:p>
        </w:tc>
        <w:tc>
          <w:tcPr>
            <w:tcW w:w="1102" w:type="dxa"/>
            <w:vAlign w:val="center"/>
          </w:tcPr>
          <w:p w14:paraId="0548812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2026年1月2日</w:t>
            </w:r>
          </w:p>
        </w:tc>
        <w:tc>
          <w:tcPr>
            <w:tcW w:w="1565" w:type="dxa"/>
            <w:vAlign w:val="center"/>
          </w:tcPr>
          <w:p w14:paraId="498FA8A2">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第8623343号</w:t>
            </w:r>
          </w:p>
        </w:tc>
        <w:tc>
          <w:tcPr>
            <w:tcW w:w="1984" w:type="dxa"/>
            <w:vAlign w:val="center"/>
          </w:tcPr>
          <w:p w14:paraId="2745252C">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浙江科技学院</w:t>
            </w:r>
          </w:p>
        </w:tc>
        <w:tc>
          <w:tcPr>
            <w:tcW w:w="1559" w:type="dxa"/>
            <w:vAlign w:val="center"/>
          </w:tcPr>
          <w:p w14:paraId="22AFC60E">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李珂、李清毅、李国能、郑友取</w:t>
            </w:r>
          </w:p>
        </w:tc>
        <w:tc>
          <w:tcPr>
            <w:tcW w:w="1748" w:type="dxa"/>
            <w:vAlign w:val="center"/>
          </w:tcPr>
          <w:p w14:paraId="4C4DBBFC">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eastAsia="zh"/>
                <w14:textFill>
                  <w14:solidFill>
                    <w14:schemeClr w14:val="tx1"/>
                  </w14:solidFill>
                </w14:textFill>
              </w:rPr>
              <w:t>已授权（有效）</w:t>
            </w:r>
          </w:p>
        </w:tc>
      </w:tr>
      <w:tr w14:paraId="6FEABB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524233DC">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50CC544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一种热量收集装置</w:t>
            </w:r>
          </w:p>
        </w:tc>
        <w:tc>
          <w:tcPr>
            <w:tcW w:w="992" w:type="dxa"/>
            <w:vAlign w:val="center"/>
          </w:tcPr>
          <w:p w14:paraId="49C98A45">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53CA638A">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ZL202311287948.5</w:t>
            </w:r>
          </w:p>
        </w:tc>
        <w:tc>
          <w:tcPr>
            <w:tcW w:w="1102" w:type="dxa"/>
            <w:vAlign w:val="center"/>
          </w:tcPr>
          <w:p w14:paraId="1659833F">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2026年2月6日</w:t>
            </w:r>
          </w:p>
        </w:tc>
        <w:tc>
          <w:tcPr>
            <w:tcW w:w="1565" w:type="dxa"/>
            <w:vAlign w:val="center"/>
          </w:tcPr>
          <w:p w14:paraId="030CC0C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第8697758号</w:t>
            </w:r>
          </w:p>
        </w:tc>
        <w:tc>
          <w:tcPr>
            <w:tcW w:w="1984" w:type="dxa"/>
            <w:vAlign w:val="center"/>
          </w:tcPr>
          <w:p w14:paraId="1B4BA72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宁波宝工电器有限公司</w:t>
            </w:r>
          </w:p>
        </w:tc>
        <w:tc>
          <w:tcPr>
            <w:tcW w:w="1559" w:type="dxa"/>
            <w:vAlign w:val="center"/>
          </w:tcPr>
          <w:p w14:paraId="40581A0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蒋学利、方昌春、杨武杰</w:t>
            </w:r>
          </w:p>
        </w:tc>
        <w:tc>
          <w:tcPr>
            <w:tcW w:w="1748" w:type="dxa"/>
            <w:vAlign w:val="center"/>
          </w:tcPr>
          <w:p w14:paraId="0EEB320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已授权（有效）</w:t>
            </w:r>
          </w:p>
        </w:tc>
      </w:tr>
      <w:tr w14:paraId="6819B5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0108FF87">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513FA1B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一种余热回收装置</w:t>
            </w:r>
          </w:p>
        </w:tc>
        <w:tc>
          <w:tcPr>
            <w:tcW w:w="992" w:type="dxa"/>
            <w:vAlign w:val="center"/>
          </w:tcPr>
          <w:p w14:paraId="112B510F">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中国</w:t>
            </w:r>
          </w:p>
        </w:tc>
        <w:tc>
          <w:tcPr>
            <w:tcW w:w="1655" w:type="dxa"/>
            <w:vAlign w:val="center"/>
          </w:tcPr>
          <w:p w14:paraId="45D1632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ZL202311287951.7</w:t>
            </w:r>
          </w:p>
        </w:tc>
        <w:tc>
          <w:tcPr>
            <w:tcW w:w="1102" w:type="dxa"/>
            <w:vAlign w:val="center"/>
          </w:tcPr>
          <w:p w14:paraId="0CD5733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2026年5月15日</w:t>
            </w:r>
          </w:p>
        </w:tc>
        <w:tc>
          <w:tcPr>
            <w:tcW w:w="1565" w:type="dxa"/>
            <w:vAlign w:val="center"/>
          </w:tcPr>
          <w:p w14:paraId="73B1A040">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第8946587号</w:t>
            </w:r>
          </w:p>
        </w:tc>
        <w:tc>
          <w:tcPr>
            <w:tcW w:w="1984" w:type="dxa"/>
            <w:vAlign w:val="center"/>
          </w:tcPr>
          <w:p w14:paraId="005DBBF4">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宁波宝工电器有限公司</w:t>
            </w:r>
          </w:p>
        </w:tc>
        <w:tc>
          <w:tcPr>
            <w:tcW w:w="1559" w:type="dxa"/>
            <w:vAlign w:val="center"/>
          </w:tcPr>
          <w:p w14:paraId="2700272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蒋学利、方昌春、杨武杰</w:t>
            </w:r>
          </w:p>
        </w:tc>
        <w:tc>
          <w:tcPr>
            <w:tcW w:w="1748" w:type="dxa"/>
            <w:vAlign w:val="center"/>
          </w:tcPr>
          <w:p w14:paraId="4BE9EC4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已授权（有效）</w:t>
            </w:r>
          </w:p>
        </w:tc>
      </w:tr>
      <w:tr w14:paraId="1FB67C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14:paraId="47870B91">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发明专利</w:t>
            </w:r>
          </w:p>
        </w:tc>
        <w:tc>
          <w:tcPr>
            <w:tcW w:w="2577" w:type="dxa"/>
            <w:vAlign w:val="center"/>
          </w:tcPr>
          <w:p w14:paraId="22D3A799">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Outdoor camping fuel oil heating apparatus</w:t>
            </w:r>
          </w:p>
        </w:tc>
        <w:tc>
          <w:tcPr>
            <w:tcW w:w="992" w:type="dxa"/>
            <w:vAlign w:val="center"/>
          </w:tcPr>
          <w:p w14:paraId="2CD15DF8">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欧洲</w:t>
            </w:r>
          </w:p>
        </w:tc>
        <w:tc>
          <w:tcPr>
            <w:tcW w:w="1655" w:type="dxa"/>
            <w:vAlign w:val="center"/>
          </w:tcPr>
          <w:p w14:paraId="770EAE3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EP4467871</w:t>
            </w:r>
          </w:p>
        </w:tc>
        <w:tc>
          <w:tcPr>
            <w:tcW w:w="1102" w:type="dxa"/>
            <w:vAlign w:val="center"/>
          </w:tcPr>
          <w:p w14:paraId="093E3386">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2025年9月3日</w:t>
            </w:r>
          </w:p>
        </w:tc>
        <w:tc>
          <w:tcPr>
            <w:tcW w:w="1565" w:type="dxa"/>
            <w:vAlign w:val="center"/>
          </w:tcPr>
          <w:p w14:paraId="324B505B">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EP4467871</w:t>
            </w:r>
          </w:p>
        </w:tc>
        <w:tc>
          <w:tcPr>
            <w:tcW w:w="1984" w:type="dxa"/>
            <w:vAlign w:val="center"/>
          </w:tcPr>
          <w:p w14:paraId="0E568123">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宁波宝工电器有限公司</w:t>
            </w:r>
          </w:p>
        </w:tc>
        <w:tc>
          <w:tcPr>
            <w:tcW w:w="1559" w:type="dxa"/>
            <w:vAlign w:val="center"/>
          </w:tcPr>
          <w:p w14:paraId="27A4D988">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Zhou Junshu（周军枢）</w:t>
            </w:r>
          </w:p>
        </w:tc>
        <w:tc>
          <w:tcPr>
            <w:tcW w:w="1748" w:type="dxa"/>
            <w:vAlign w:val="center"/>
          </w:tcPr>
          <w:p w14:paraId="7A3A0A9F">
            <w:pPr>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已授权（有效）</w:t>
            </w:r>
          </w:p>
        </w:tc>
      </w:tr>
    </w:tbl>
    <w:p w14:paraId="70B11906">
      <w:r>
        <w:t xml:space="preserve"> </w:t>
      </w:r>
    </w:p>
    <w:sectPr>
      <w:pgSz w:w="16838" w:h="11906" w:orient="landscape"/>
      <w:pgMar w:top="1797" w:right="1440" w:bottom="1276"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7E"/>
    <w:rsid w:val="00061775"/>
    <w:rsid w:val="000F2E7B"/>
    <w:rsid w:val="00117AB4"/>
    <w:rsid w:val="0012362D"/>
    <w:rsid w:val="00130367"/>
    <w:rsid w:val="00175631"/>
    <w:rsid w:val="00187047"/>
    <w:rsid w:val="001B57E2"/>
    <w:rsid w:val="001C62EF"/>
    <w:rsid w:val="001D3B60"/>
    <w:rsid w:val="001F3375"/>
    <w:rsid w:val="00210109"/>
    <w:rsid w:val="00211589"/>
    <w:rsid w:val="00216AF1"/>
    <w:rsid w:val="00230375"/>
    <w:rsid w:val="002624D6"/>
    <w:rsid w:val="002B51E9"/>
    <w:rsid w:val="002D68E6"/>
    <w:rsid w:val="002F2660"/>
    <w:rsid w:val="002F7A1E"/>
    <w:rsid w:val="00302BDD"/>
    <w:rsid w:val="0030581A"/>
    <w:rsid w:val="00334129"/>
    <w:rsid w:val="003445F3"/>
    <w:rsid w:val="00351830"/>
    <w:rsid w:val="00355B64"/>
    <w:rsid w:val="00367C0D"/>
    <w:rsid w:val="003746B4"/>
    <w:rsid w:val="003B5AFE"/>
    <w:rsid w:val="003B61E9"/>
    <w:rsid w:val="003C601C"/>
    <w:rsid w:val="003F6FBA"/>
    <w:rsid w:val="00417B73"/>
    <w:rsid w:val="004411C8"/>
    <w:rsid w:val="0045124A"/>
    <w:rsid w:val="0046663B"/>
    <w:rsid w:val="00466D43"/>
    <w:rsid w:val="00471B85"/>
    <w:rsid w:val="00496E4C"/>
    <w:rsid w:val="004A2498"/>
    <w:rsid w:val="004B75A2"/>
    <w:rsid w:val="004C7DA9"/>
    <w:rsid w:val="004D2B1A"/>
    <w:rsid w:val="004D2D11"/>
    <w:rsid w:val="004D72FD"/>
    <w:rsid w:val="004F65E4"/>
    <w:rsid w:val="0053417A"/>
    <w:rsid w:val="005407EE"/>
    <w:rsid w:val="005539A6"/>
    <w:rsid w:val="00561D3C"/>
    <w:rsid w:val="005A3E97"/>
    <w:rsid w:val="005B3E34"/>
    <w:rsid w:val="006066FC"/>
    <w:rsid w:val="00612482"/>
    <w:rsid w:val="00631A11"/>
    <w:rsid w:val="00643F2C"/>
    <w:rsid w:val="006536A8"/>
    <w:rsid w:val="0067123A"/>
    <w:rsid w:val="006B7554"/>
    <w:rsid w:val="006C31F6"/>
    <w:rsid w:val="006D5577"/>
    <w:rsid w:val="006D7BAE"/>
    <w:rsid w:val="00727682"/>
    <w:rsid w:val="00731F31"/>
    <w:rsid w:val="00742F21"/>
    <w:rsid w:val="00744B4B"/>
    <w:rsid w:val="00773751"/>
    <w:rsid w:val="00791FE5"/>
    <w:rsid w:val="007B34C1"/>
    <w:rsid w:val="007F2AA4"/>
    <w:rsid w:val="007F3862"/>
    <w:rsid w:val="007F6C3C"/>
    <w:rsid w:val="007F7796"/>
    <w:rsid w:val="00812BF8"/>
    <w:rsid w:val="0082117E"/>
    <w:rsid w:val="00830121"/>
    <w:rsid w:val="00830CF6"/>
    <w:rsid w:val="00866CB2"/>
    <w:rsid w:val="008A152E"/>
    <w:rsid w:val="008B5E09"/>
    <w:rsid w:val="008D0030"/>
    <w:rsid w:val="00910C74"/>
    <w:rsid w:val="00933D56"/>
    <w:rsid w:val="00942D22"/>
    <w:rsid w:val="009441C2"/>
    <w:rsid w:val="009A1D75"/>
    <w:rsid w:val="009B2C57"/>
    <w:rsid w:val="009D63FF"/>
    <w:rsid w:val="009F1A34"/>
    <w:rsid w:val="00A0124B"/>
    <w:rsid w:val="00A04D0A"/>
    <w:rsid w:val="00A12F72"/>
    <w:rsid w:val="00AA13EC"/>
    <w:rsid w:val="00AB278B"/>
    <w:rsid w:val="00AB28FF"/>
    <w:rsid w:val="00AC5212"/>
    <w:rsid w:val="00AE57ED"/>
    <w:rsid w:val="00AE5A48"/>
    <w:rsid w:val="00AE68A5"/>
    <w:rsid w:val="00B06C21"/>
    <w:rsid w:val="00B33836"/>
    <w:rsid w:val="00B414B4"/>
    <w:rsid w:val="00B47CC3"/>
    <w:rsid w:val="00B618CC"/>
    <w:rsid w:val="00B84C63"/>
    <w:rsid w:val="00B92D70"/>
    <w:rsid w:val="00BF3AB8"/>
    <w:rsid w:val="00C021ED"/>
    <w:rsid w:val="00C07781"/>
    <w:rsid w:val="00C106ED"/>
    <w:rsid w:val="00C11A09"/>
    <w:rsid w:val="00C3124D"/>
    <w:rsid w:val="00C6338E"/>
    <w:rsid w:val="00C755E5"/>
    <w:rsid w:val="00C87437"/>
    <w:rsid w:val="00C95110"/>
    <w:rsid w:val="00CA1C35"/>
    <w:rsid w:val="00CE6BF6"/>
    <w:rsid w:val="00CF36AB"/>
    <w:rsid w:val="00D475C8"/>
    <w:rsid w:val="00D57031"/>
    <w:rsid w:val="00D72B12"/>
    <w:rsid w:val="00D802B8"/>
    <w:rsid w:val="00DC4252"/>
    <w:rsid w:val="00DE5444"/>
    <w:rsid w:val="00E046EB"/>
    <w:rsid w:val="00E21A94"/>
    <w:rsid w:val="00E305F9"/>
    <w:rsid w:val="00E56166"/>
    <w:rsid w:val="00E6379C"/>
    <w:rsid w:val="00E66B60"/>
    <w:rsid w:val="00E93C87"/>
    <w:rsid w:val="00EB1A43"/>
    <w:rsid w:val="00EF3F9B"/>
    <w:rsid w:val="00F20EF7"/>
    <w:rsid w:val="00F40786"/>
    <w:rsid w:val="00F4275E"/>
    <w:rsid w:val="00F46A27"/>
    <w:rsid w:val="00F612C2"/>
    <w:rsid w:val="00F61A1A"/>
    <w:rsid w:val="00FF7C83"/>
    <w:rsid w:val="01D825F3"/>
    <w:rsid w:val="02026A9B"/>
    <w:rsid w:val="04121C66"/>
    <w:rsid w:val="04525012"/>
    <w:rsid w:val="06463287"/>
    <w:rsid w:val="07392607"/>
    <w:rsid w:val="0D600335"/>
    <w:rsid w:val="0E6344F9"/>
    <w:rsid w:val="0F1727CE"/>
    <w:rsid w:val="102A5AC4"/>
    <w:rsid w:val="195C14B6"/>
    <w:rsid w:val="1C1B23B1"/>
    <w:rsid w:val="1EE5250D"/>
    <w:rsid w:val="2261791E"/>
    <w:rsid w:val="35F5E5DC"/>
    <w:rsid w:val="37691577"/>
    <w:rsid w:val="3A6F486B"/>
    <w:rsid w:val="3E6E79E5"/>
    <w:rsid w:val="3F656D44"/>
    <w:rsid w:val="3FCF62B8"/>
    <w:rsid w:val="48F16F90"/>
    <w:rsid w:val="50970590"/>
    <w:rsid w:val="52FF3104"/>
    <w:rsid w:val="58E55E33"/>
    <w:rsid w:val="5AFB9C61"/>
    <w:rsid w:val="5C0D63CC"/>
    <w:rsid w:val="5EE7FD20"/>
    <w:rsid w:val="5EF96EB5"/>
    <w:rsid w:val="5FF74256"/>
    <w:rsid w:val="66DB72B3"/>
    <w:rsid w:val="67BD227E"/>
    <w:rsid w:val="67BFFC1C"/>
    <w:rsid w:val="69477E6D"/>
    <w:rsid w:val="69FF19E9"/>
    <w:rsid w:val="6ECF3A40"/>
    <w:rsid w:val="6F7BE5A9"/>
    <w:rsid w:val="6FB2332E"/>
    <w:rsid w:val="6FFB1FAF"/>
    <w:rsid w:val="73F14B25"/>
    <w:rsid w:val="7639549A"/>
    <w:rsid w:val="763BC4CC"/>
    <w:rsid w:val="767D032A"/>
    <w:rsid w:val="78517AC8"/>
    <w:rsid w:val="78FF2F8D"/>
    <w:rsid w:val="794FDB3D"/>
    <w:rsid w:val="79E716A6"/>
    <w:rsid w:val="7AFB454E"/>
    <w:rsid w:val="7C6C098D"/>
    <w:rsid w:val="7CF34F4E"/>
    <w:rsid w:val="7D3BAC4E"/>
    <w:rsid w:val="7DDFE75B"/>
    <w:rsid w:val="7E6F34CD"/>
    <w:rsid w:val="7F024D19"/>
    <w:rsid w:val="7F3C384D"/>
    <w:rsid w:val="7FFF1437"/>
    <w:rsid w:val="8D75B7B3"/>
    <w:rsid w:val="994E8AA9"/>
    <w:rsid w:val="ADEF4F43"/>
    <w:rsid w:val="B6FF0294"/>
    <w:rsid w:val="CF7FAD9C"/>
    <w:rsid w:val="D2BB6FBF"/>
    <w:rsid w:val="DEF5C487"/>
    <w:rsid w:val="EEFFC332"/>
    <w:rsid w:val="F09F8F6F"/>
    <w:rsid w:val="F7FA0C0B"/>
    <w:rsid w:val="FB6FF1E0"/>
    <w:rsid w:val="FB7F6948"/>
    <w:rsid w:val="FEBB0E8A"/>
    <w:rsid w:val="FF557A66"/>
    <w:rsid w:val="FFEF1B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Autospacing="1" w:afterAutospacing="1"/>
      <w:jc w:val="left"/>
    </w:pPr>
    <w:rPr>
      <w:rFonts w:ascii="宋体" w:hAnsi="宋体"/>
      <w:kern w:val="0"/>
      <w:sz w:val="24"/>
      <w:szCs w:val="24"/>
    </w:rPr>
  </w:style>
  <w:style w:type="paragraph" w:styleId="6">
    <w:name w:val="annotation subject"/>
    <w:basedOn w:val="2"/>
    <w:next w:val="2"/>
    <w:link w:val="18"/>
    <w:semiHidden/>
    <w:unhideWhenUsed/>
    <w:qFormat/>
    <w:uiPriority w:val="99"/>
    <w:pPr>
      <w:jc w:val="left"/>
    </w:pPr>
    <w:rPr>
      <w:b/>
      <w:bCs/>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title1"/>
    <w:qFormat/>
    <w:uiPriority w:val="0"/>
    <w:rPr>
      <w:b/>
      <w:bCs/>
      <w:color w:val="999900"/>
      <w:sz w:val="24"/>
      <w:szCs w:val="24"/>
    </w:rPr>
  </w:style>
  <w:style w:type="character" w:customStyle="1" w:styleId="13">
    <w:name w:val="页眉 字符"/>
    <w:basedOn w:val="8"/>
    <w:link w:val="4"/>
    <w:qFormat/>
    <w:uiPriority w:val="99"/>
    <w:rPr>
      <w:rFonts w:ascii="Times New Roman" w:hAnsi="Times New Roman" w:eastAsia="宋体" w:cs="Times New Roman"/>
      <w:sz w:val="18"/>
      <w:szCs w:val="18"/>
    </w:rPr>
  </w:style>
  <w:style w:type="character" w:customStyle="1" w:styleId="14">
    <w:name w:val="页脚 字符"/>
    <w:basedOn w:val="8"/>
    <w:link w:val="3"/>
    <w:qFormat/>
    <w:uiPriority w:val="99"/>
    <w:rPr>
      <w:rFonts w:ascii="Times New Roman" w:hAnsi="Times New Roman" w:eastAsia="宋体" w:cs="Times New Roman"/>
      <w:sz w:val="18"/>
      <w:szCs w:val="18"/>
    </w:rPr>
  </w:style>
  <w:style w:type="paragraph" w:customStyle="1" w:styleId="15">
    <w:name w:val="列表段落1"/>
    <w:basedOn w:val="1"/>
    <w:qFormat/>
    <w:uiPriority w:val="0"/>
    <w:pPr>
      <w:ind w:firstLine="420" w:firstLineChars="200"/>
    </w:pPr>
    <w:rPr>
      <w:rFonts w:ascii="仿宋_GB2312" w:eastAsia="仿宋_GB2312"/>
      <w:spacing w:val="-4"/>
      <w:sz w:val="32"/>
      <w:szCs w:val="32"/>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8"/>
    <w:link w:val="2"/>
    <w:semiHidden/>
    <w:qFormat/>
    <w:uiPriority w:val="99"/>
    <w:rPr>
      <w:kern w:val="2"/>
      <w:sz w:val="21"/>
    </w:rPr>
  </w:style>
  <w:style w:type="character" w:customStyle="1" w:styleId="18">
    <w:name w:val="批注主题 字符"/>
    <w:basedOn w:val="17"/>
    <w:link w:val="6"/>
    <w:semiHidden/>
    <w:qFormat/>
    <w:uiPriority w:val="99"/>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4E9668B-AC0B-452C-9299-BF53DD143E43}">
  <ds:schemaRefs/>
</ds:datastoreItem>
</file>

<file path=docProps/app.xml><?xml version="1.0" encoding="utf-8"?>
<Properties xmlns="http://schemas.openxmlformats.org/officeDocument/2006/extended-properties" xmlns:vt="http://schemas.openxmlformats.org/officeDocument/2006/docPropsVTypes">
  <Template>Normal</Template>
  <Pages>4</Pages>
  <Words>895</Words>
  <Characters>1057</Characters>
  <Lines>132</Lines>
  <Paragraphs>139</Paragraphs>
  <TotalTime>269</TotalTime>
  <ScaleCrop>false</ScaleCrop>
  <LinksUpToDate>false</LinksUpToDate>
  <CharactersWithSpaces>1813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2020-09-23T05:54:00Z</dcterms:created>
  <dc:creator>dell</dc:creator>
  <cp:lastModifiedBy>杨理</cp:lastModifiedBy>
  <cp:lastPrinted>2026-06-08T01:28:00Z</cp:lastPrinted>
  <dcterms:modified xsi:type="dcterms:W3CDTF">2026-06-11T14:33:15Z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C0EA56BA6C6447538E96015963D936A4_13</vt:lpwstr>
  </property>
  <property fmtid="{D5CDD505-2E9C-101B-9397-08002B2CF9AE}" pid="4" name="KSOTemplateDocerSaveRecord">
    <vt:lpwstr>eyJoZGlkIjoiNzk5NWU2OGQ2NmI0YzZiZDM1YmYxOWNhNjY0YjI4NmUiLCJ1c2VySWQiOiI0MjQ0NjkxMDgifQ==</vt:lpwstr>
  </property>
</Properties>
</file>