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8BFCF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</w:t>
      </w:r>
      <w:proofErr w:type="gramStart"/>
      <w:r w:rsidR="009005FE">
        <w:rPr>
          <w:rFonts w:ascii="仿宋_GB2312" w:hAnsi="华文中宋" w:hint="eastAsia"/>
          <w:bCs/>
          <w:sz w:val="24"/>
        </w:rPr>
        <w:t>郑启富</w:t>
      </w:r>
      <w:proofErr w:type="gramEnd"/>
      <w:r w:rsidR="00BC3CDE" w:rsidRPr="00226E55">
        <w:rPr>
          <w:rFonts w:ascii="仿宋_GB2312" w:hAnsi="华文中宋" w:hint="eastAsia"/>
          <w:bCs/>
          <w:sz w:val="24"/>
        </w:rPr>
        <w:t xml:space="preserve">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9005F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005FE">
              <w:rPr>
                <w:rFonts w:ascii="宋体" w:eastAsia="宋体" w:hAnsi="宋体" w:hint="eastAsia"/>
                <w:sz w:val="21"/>
                <w:szCs w:val="21"/>
              </w:rPr>
              <w:t>农产品农药残留追溯云平台关键共性技术研发与工程示范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9005FE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衢州市科学技术局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9005F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2019.01.01－2021.12.31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005F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郑启富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005F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005F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005F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005F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陈晓彬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005FE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005FE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005F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程序设计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005F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　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005F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005F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005F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005F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3E05AA">
              <w:rPr>
                <w:rFonts w:ascii="宋体" w:eastAsia="宋体" w:hAnsi="宋体" w:hint="eastAsia"/>
                <w:sz w:val="21"/>
                <w:szCs w:val="21"/>
              </w:rPr>
              <w:t>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005F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3E05AA">
              <w:rPr>
                <w:rFonts w:ascii="宋体" w:eastAsia="宋体" w:hAnsi="宋体" w:hint="eastAsia"/>
                <w:sz w:val="21"/>
                <w:szCs w:val="21"/>
              </w:rPr>
              <w:t>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E05A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3E05A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E05A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3E05A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3E05A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3E05AA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3E05AA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E05AA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43DB3" w:rsidP="00443DB3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1.细化研究方案；2.基础数据采集，为胆碱酯酶催化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靛酚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乙酸水解过程</w:t>
            </w:r>
            <w:r w:rsidRPr="00443DB3">
              <w:rPr>
                <w:rFonts w:ascii="宋体" w:eastAsia="宋体" w:hAnsi="宋体" w:hint="eastAsia"/>
                <w:sz w:val="21"/>
                <w:szCs w:val="21"/>
              </w:rPr>
              <w:t>变色模式智能识别模型的建立积累基础数据；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443DB3">
              <w:rPr>
                <w:rFonts w:ascii="宋体" w:eastAsia="宋体" w:hAnsi="宋体" w:hint="eastAsia"/>
                <w:sz w:val="21"/>
                <w:szCs w:val="21"/>
              </w:rPr>
              <w:t>“基于智能移动终端的农药残留快速检测方法”专利申请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F51F4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F51F4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F51F4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F51F4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F51F4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FF51F4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bookmarkStart w:id="0" w:name="_GoBack"/>
        <w:bookmarkEnd w:id="0"/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F0C" w:rsidRDefault="00A22F0C">
      <w:r>
        <w:separator/>
      </w:r>
    </w:p>
  </w:endnote>
  <w:endnote w:type="continuationSeparator" w:id="0">
    <w:p w:rsidR="00A22F0C" w:rsidRDefault="00A2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F0C" w:rsidRDefault="00A22F0C">
      <w:r>
        <w:separator/>
      </w:r>
    </w:p>
  </w:footnote>
  <w:footnote w:type="continuationSeparator" w:id="0">
    <w:p w:rsidR="00A22F0C" w:rsidRDefault="00A22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3E05AA"/>
    <w:rsid w:val="00400052"/>
    <w:rsid w:val="00413D43"/>
    <w:rsid w:val="00427898"/>
    <w:rsid w:val="004306C9"/>
    <w:rsid w:val="0043319A"/>
    <w:rsid w:val="00443DB3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05FE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22F0C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738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微软用户</cp:lastModifiedBy>
  <cp:revision>6</cp:revision>
  <cp:lastPrinted>2012-12-19T09:11:00Z</cp:lastPrinted>
  <dcterms:created xsi:type="dcterms:W3CDTF">2019-05-29T01:20:00Z</dcterms:created>
  <dcterms:modified xsi:type="dcterms:W3CDTF">2019-06-20T02:37:00Z</dcterms:modified>
</cp:coreProperties>
</file>