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3BE484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r>
        <w:rPr>
          <w:rStyle w:val="36"/>
          <w:rFonts w:hint="eastAsia" w:eastAsia="方正小标宋简体"/>
          <w:b w:val="0"/>
          <w:color w:val="auto"/>
          <w:sz w:val="36"/>
          <w:szCs w:val="36"/>
        </w:rPr>
        <w:t>宁波市科学技术奖</w:t>
      </w:r>
      <w:r>
        <w:rPr>
          <w:rStyle w:val="36"/>
          <w:rFonts w:eastAsia="方正小标宋简体"/>
          <w:b w:val="0"/>
          <w:color w:val="auto"/>
          <w:sz w:val="36"/>
          <w:szCs w:val="36"/>
        </w:rPr>
        <w:t>公示信息表</w:t>
      </w:r>
    </w:p>
    <w:p w14:paraId="0EBA6310">
      <w:pPr>
        <w:spacing w:line="440" w:lineRule="exact"/>
        <w:rPr>
          <w:rFonts w:eastAsia="仿宋_GB2312"/>
          <w:sz w:val="28"/>
          <w:szCs w:val="24"/>
        </w:rPr>
      </w:pP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6946"/>
      </w:tblGrid>
      <w:tr w14:paraId="2DA2CD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560" w:type="dxa"/>
            <w:vAlign w:val="center"/>
          </w:tcPr>
          <w:p w14:paraId="1F771EC0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946" w:type="dxa"/>
            <w:vAlign w:val="center"/>
          </w:tcPr>
          <w:p w14:paraId="37E37F9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Fonts w:hint="eastAsia" w:eastAsia="仿宋_GB2312"/>
                <w:color w:val="auto"/>
                <w:sz w:val="24"/>
                <w:szCs w:val="24"/>
                <w:lang w:val="en-US" w:eastAsia="zh-CN"/>
              </w:rPr>
              <w:t>广吸力下非饱和土水-力耦合特性测试、理论及应用</w:t>
            </w:r>
          </w:p>
        </w:tc>
      </w:tr>
      <w:tr w14:paraId="5FF0D2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60" w:type="dxa"/>
            <w:vAlign w:val="center"/>
          </w:tcPr>
          <w:p w14:paraId="59C0D42E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946" w:type="dxa"/>
            <w:vAlign w:val="center"/>
          </w:tcPr>
          <w:p w14:paraId="5598BF54">
            <w:pPr>
              <w:jc w:val="center"/>
              <w:rPr>
                <w:rStyle w:val="36"/>
                <w:rFonts w:hint="default" w:eastAsia="仿宋"/>
                <w:b w:val="0"/>
                <w:color w:val="auto"/>
                <w:sz w:val="28"/>
                <w:lang w:val="en-US" w:eastAsia="zh-CN"/>
              </w:rPr>
            </w:pPr>
            <w:r>
              <w:rPr>
                <w:rFonts w:hint="eastAsia" w:eastAsia="仿宋"/>
                <w:color w:val="000000" w:themeColor="text1"/>
                <w:sz w:val="24"/>
              </w:rPr>
              <w:t>宁波</w:t>
            </w:r>
            <w:r>
              <w:rPr>
                <w:rFonts w:eastAsia="仿宋"/>
                <w:color w:val="000000" w:themeColor="text1"/>
                <w:sz w:val="24"/>
              </w:rPr>
              <w:t>市</w:t>
            </w:r>
            <w:r>
              <w:rPr>
                <w:rFonts w:hint="eastAsia" w:eastAsia="仿宋"/>
                <w:color w:val="000000" w:themeColor="text1"/>
                <w:sz w:val="24"/>
                <w:lang w:val="en-US" w:eastAsia="zh-CN"/>
              </w:rPr>
              <w:t>自然科学奖</w:t>
            </w:r>
            <w:r>
              <w:rPr>
                <w:rFonts w:hint="eastAsia" w:eastAsia="仿宋"/>
                <w:color w:val="000000" w:themeColor="text1"/>
                <w:sz w:val="24"/>
              </w:rPr>
              <w:t>一</w:t>
            </w:r>
            <w:r>
              <w:rPr>
                <w:rFonts w:eastAsia="仿宋"/>
                <w:color w:val="000000" w:themeColor="text1"/>
                <w:sz w:val="24"/>
              </w:rPr>
              <w:t>等奖</w:t>
            </w:r>
            <w:r>
              <w:rPr>
                <w:rFonts w:hint="eastAsia" w:eastAsia="仿宋"/>
                <w:color w:val="000000" w:themeColor="text1"/>
                <w:sz w:val="24"/>
                <w:lang w:val="en-US" w:eastAsia="zh-CN"/>
              </w:rPr>
              <w:t>或二等奖</w:t>
            </w:r>
            <w:bookmarkStart w:id="0" w:name="_GoBack"/>
            <w:bookmarkEnd w:id="0"/>
          </w:p>
        </w:tc>
      </w:tr>
      <w:tr w14:paraId="33DBD0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1560" w:type="dxa"/>
            <w:vAlign w:val="center"/>
          </w:tcPr>
          <w:p w14:paraId="34C69D49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28CB7A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946" w:type="dxa"/>
            <w:vAlign w:val="center"/>
          </w:tcPr>
          <w:p w14:paraId="2B6DB1F2">
            <w:pPr>
              <w:jc w:val="left"/>
              <w:rPr>
                <w:rFonts w:eastAsia="仿宋"/>
                <w:bCs/>
                <w:szCs w:val="21"/>
              </w:rPr>
            </w:pPr>
            <w:r>
              <w:rPr>
                <w:rFonts w:eastAsia="仿宋"/>
                <w:bCs/>
                <w:szCs w:val="21"/>
              </w:rPr>
              <w:t>提名书的代表性论文专著目录、主要知识产权和标准规范目录；</w:t>
            </w:r>
          </w:p>
          <w:p w14:paraId="13F25153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论文：</w:t>
            </w:r>
          </w:p>
          <w:p w14:paraId="74899718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、</w:t>
            </w:r>
            <w:r>
              <w:rPr>
                <w:color w:val="000000"/>
                <w:sz w:val="24"/>
                <w:szCs w:val="24"/>
              </w:rPr>
              <w:t>Hydromechanical behavior of unsaturated soil with different initial densities over a wide suction range/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Acta Geotechnica.</w:t>
            </w:r>
          </w:p>
          <w:p w14:paraId="77498366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、</w:t>
            </w:r>
            <w:r>
              <w:rPr>
                <w:color w:val="000000"/>
                <w:sz w:val="24"/>
                <w:szCs w:val="24"/>
              </w:rPr>
              <w:t>Soil-water retention curves and microstructures of undisturbed and compacted Guilin lateritic clay /Bulletin of Engineering Geology and the Environment</w:t>
            </w:r>
          </w:p>
          <w:p w14:paraId="510B23B9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、</w:t>
            </w:r>
            <w:r>
              <w:rPr>
                <w:color w:val="000000"/>
                <w:sz w:val="24"/>
                <w:szCs w:val="24"/>
              </w:rPr>
              <w:t>Predicting Shear Strength of Unsaturated Soils over Wide Suction Range/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International Journal of Geomechanics</w:t>
            </w:r>
          </w:p>
          <w:p w14:paraId="2AF68DF8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、</w:t>
            </w:r>
            <w:r>
              <w:rPr>
                <w:color w:val="000000"/>
                <w:sz w:val="24"/>
                <w:szCs w:val="24"/>
              </w:rPr>
              <w:t>Soil-water retention behavior of compacted soil with different densities over a wide suction range and its prediction/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Computers and Geotechnics</w:t>
            </w:r>
          </w:p>
          <w:p w14:paraId="59BE6A7B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、</w:t>
            </w:r>
            <w:r>
              <w:rPr>
                <w:color w:val="000000"/>
                <w:sz w:val="24"/>
                <w:szCs w:val="24"/>
              </w:rPr>
              <w:t>A simple method for predicting the hydraulic properties of unsaturated soils with different void ratios/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Soil &amp; Tillage Research</w:t>
            </w:r>
          </w:p>
          <w:p w14:paraId="602C0A9C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、</w:t>
            </w:r>
            <w:r>
              <w:rPr>
                <w:color w:val="000000"/>
                <w:sz w:val="24"/>
                <w:szCs w:val="24"/>
              </w:rPr>
              <w:t>Hydromechanical behaviour of unsaturated soil with different specimen preparations/ Canadian Geotechnical Journal</w:t>
            </w:r>
          </w:p>
          <w:p w14:paraId="3E142C90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、</w:t>
            </w:r>
            <w:r>
              <w:rPr>
                <w:color w:val="000000"/>
                <w:sz w:val="24"/>
                <w:szCs w:val="24"/>
              </w:rPr>
              <w:t>Three-dimensional seismic stability of unsaturated soil slopes using a semi-analytical method/Computers and Geotechnics</w:t>
            </w:r>
          </w:p>
          <w:p w14:paraId="284E6C3F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、</w:t>
            </w:r>
            <w:r>
              <w:rPr>
                <w:color w:val="000000"/>
                <w:sz w:val="24"/>
                <w:szCs w:val="24"/>
              </w:rPr>
              <w:t>A unified constitutive model for unsaturated soil under monotonic and cyclic loading/Acta Geotechnica</w:t>
            </w:r>
          </w:p>
          <w:p w14:paraId="191B9927"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、</w:t>
            </w:r>
            <w:r>
              <w:rPr>
                <w:rFonts w:eastAsia="仿宋_GB2312"/>
                <w:color w:val="000000"/>
                <w:sz w:val="24"/>
                <w:szCs w:val="24"/>
              </w:rPr>
              <w:fldChar w:fldCharType="begin"/>
            </w:r>
            <w:r>
              <w:rPr>
                <w:rFonts w:eastAsia="仿宋_GB2312"/>
                <w:color w:val="000000"/>
                <w:sz w:val="24"/>
                <w:szCs w:val="24"/>
              </w:rPr>
              <w:instrText xml:space="preserve"> HYPERLINK "https://kns.cnki.net/kcms2/article/abstract?v=5q1osi_AJOQfTZTVw1pWP62lY6s4JiCSqXVkPpOamwqWHaGcNIYM2wscN-5xoHVknp5FZtR-9lv3RZddzsLKBM_S1zIp_XU0tTjlapn5NxFHtFyOPejE8w10c_-szdoAUkis5kG073gW1cApSiz-gBEN1TVr5vNf_oTcxl_7zXzMo0Unap1AKA==&amp;uniplatform=NZKPT&amp;language=CHS" \t "https://kns.cnki.net/kns8s/defaultresult/_blank" </w:instrText>
            </w:r>
            <w:r>
              <w:rPr>
                <w:rFonts w:eastAsia="仿宋_GB2312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eastAsia="仿宋_GB2312"/>
                <w:color w:val="000000"/>
                <w:sz w:val="24"/>
                <w:szCs w:val="24"/>
              </w:rPr>
              <w:t>考虑孔隙比和水力路径影响的非饱和土土水特性研究</w:t>
            </w:r>
            <w:r>
              <w:rPr>
                <w:rFonts w:eastAsia="仿宋_GB2312"/>
                <w:color w:val="000000"/>
                <w:sz w:val="24"/>
                <w:szCs w:val="24"/>
              </w:rPr>
              <w:fldChar w:fldCharType="end"/>
            </w:r>
            <w:r>
              <w:rPr>
                <w:rFonts w:eastAsia="仿宋_GB2312"/>
                <w:color w:val="000000"/>
                <w:sz w:val="24"/>
                <w:szCs w:val="24"/>
              </w:rPr>
              <w:t>/岩土工程学报</w:t>
            </w:r>
          </w:p>
          <w:p w14:paraId="608BCF39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主要知识产权：</w:t>
            </w:r>
          </w:p>
          <w:p w14:paraId="6E99AF25">
            <w:pPr>
              <w:rPr>
                <w:rFonts w:hint="eastAsia"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1、一种利用膨润土膨胀特性的伞状锚杆及施工方法（专利号：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ZL202210046370.3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）；</w:t>
            </w:r>
          </w:p>
          <w:p w14:paraId="18E11ECC">
            <w:pPr>
              <w:rPr>
                <w:rFonts w:hint="eastAsia"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2、一种镶嵌式预制混凝土柱隔离桩及其施工方法（专利号：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ZL202010092270.5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）；</w:t>
            </w:r>
          </w:p>
          <w:p w14:paraId="0F67316F">
            <w:pPr>
              <w:rPr>
                <w:rFonts w:hint="eastAsia"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3、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适用于膨胀土边坡的含EPS弹性垫层的拼装式锚杆框架梁结构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（专利号：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ZL202010952558.5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）；</w:t>
            </w:r>
          </w:p>
          <w:p w14:paraId="04E02115">
            <w:pPr>
              <w:rPr>
                <w:rFonts w:hint="eastAsia"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4、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一种温控式多功能饱和/非饱和三轴压力室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（专利号：</w:t>
            </w:r>
            <w:r>
              <w:rPr>
                <w:rFonts w:hint="default" w:ascii="Times New Roman" w:hAnsi="Times New Roman" w:eastAsia="仿宋" w:cs="Times New Roman"/>
                <w:szCs w:val="21"/>
                <w:lang w:val="en-US" w:eastAsia="zh-CN"/>
              </w:rPr>
              <w:t>ZL202220102802.3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）；</w:t>
            </w:r>
          </w:p>
          <w:p w14:paraId="2561C71F">
            <w:pPr>
              <w:rPr>
                <w:rFonts w:hint="eastAsia" w:ascii="Times New Roman" w:hAnsi="Times New Roman" w:eastAsia="仿宋" w:cs="Times New Roman"/>
                <w:szCs w:val="21"/>
              </w:rPr>
            </w:pPr>
            <w:r>
              <w:rPr>
                <w:rFonts w:hint="eastAsia" w:ascii="Times New Roman" w:hAnsi="Times New Roman" w:eastAsia="仿宋" w:cs="Times New Roman"/>
                <w:szCs w:val="21"/>
              </w:rPr>
              <w:t>5、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一种岩土工程用边坡支撑加固设备及其使用方法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（专利号：</w:t>
            </w:r>
            <w:r>
              <w:rPr>
                <w:rFonts w:hint="default" w:ascii="Times New Roman" w:hAnsi="Times New Roman" w:eastAsia="仿宋" w:cs="Times New Roman"/>
                <w:szCs w:val="21"/>
              </w:rPr>
              <w:t>ZL202210288273.5</w:t>
            </w:r>
            <w:r>
              <w:rPr>
                <w:rFonts w:hint="eastAsia" w:ascii="Times New Roman" w:hAnsi="Times New Roman" w:eastAsia="仿宋" w:cs="Times New Roman"/>
                <w:szCs w:val="21"/>
              </w:rPr>
              <w:t>）；</w:t>
            </w:r>
          </w:p>
          <w:p w14:paraId="58DD10D6">
            <w:pPr>
              <w:jc w:val="left"/>
              <w:rPr>
                <w:rFonts w:eastAsia="仿宋"/>
                <w:bCs/>
                <w:szCs w:val="21"/>
              </w:rPr>
            </w:pPr>
          </w:p>
        </w:tc>
      </w:tr>
      <w:tr w14:paraId="1DA314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1560" w:type="dxa"/>
            <w:tcBorders>
              <w:right w:val="single" w:color="auto" w:sz="4" w:space="0"/>
            </w:tcBorders>
            <w:vAlign w:val="center"/>
          </w:tcPr>
          <w:p w14:paraId="12D730D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946" w:type="dxa"/>
            <w:tcBorders>
              <w:left w:val="single" w:color="auto" w:sz="4" w:space="0"/>
            </w:tcBorders>
            <w:vAlign w:val="center"/>
          </w:tcPr>
          <w:p w14:paraId="2282EDB5">
            <w:pPr>
              <w:rPr>
                <w:rFonts w:eastAsia="仿宋"/>
                <w:szCs w:val="21"/>
              </w:rPr>
            </w:pPr>
            <w:r>
              <w:rPr>
                <w:rFonts w:hint="eastAsia" w:eastAsia="仿宋"/>
                <w:szCs w:val="21"/>
                <w:lang w:val="en-US" w:eastAsia="zh-CN"/>
              </w:rPr>
              <w:t>高游</w:t>
            </w:r>
            <w:r>
              <w:rPr>
                <w:rFonts w:eastAsia="仿宋"/>
                <w:szCs w:val="21"/>
              </w:rPr>
              <w:t>，</w:t>
            </w:r>
            <w:r>
              <w:rPr>
                <w:rFonts w:hint="eastAsia" w:eastAsia="仿宋"/>
                <w:szCs w:val="21"/>
                <w:lang w:val="en-US" w:eastAsia="zh-CN"/>
              </w:rPr>
              <w:t>孙德安</w:t>
            </w:r>
            <w:r>
              <w:rPr>
                <w:rFonts w:eastAsia="仿宋"/>
                <w:szCs w:val="21"/>
              </w:rPr>
              <w:t>，</w:t>
            </w:r>
            <w:r>
              <w:rPr>
                <w:rFonts w:hint="eastAsia" w:eastAsia="仿宋"/>
                <w:szCs w:val="21"/>
                <w:lang w:val="en-US" w:eastAsia="zh-CN"/>
              </w:rPr>
              <w:t>陈波</w:t>
            </w:r>
            <w:r>
              <w:rPr>
                <w:rFonts w:eastAsia="仿宋"/>
                <w:szCs w:val="21"/>
              </w:rPr>
              <w:t>，</w:t>
            </w:r>
            <w:r>
              <w:rPr>
                <w:rFonts w:hint="eastAsia" w:eastAsia="仿宋"/>
                <w:szCs w:val="21"/>
                <w:lang w:val="en-US" w:eastAsia="zh-CN"/>
              </w:rPr>
              <w:t>熊勇林</w:t>
            </w:r>
            <w:r>
              <w:rPr>
                <w:rFonts w:eastAsia="仿宋"/>
                <w:szCs w:val="21"/>
              </w:rPr>
              <w:t>，</w:t>
            </w:r>
            <w:r>
              <w:rPr>
                <w:rFonts w:hint="eastAsia" w:eastAsia="仿宋"/>
                <w:szCs w:val="21"/>
                <w:lang w:val="en-US" w:eastAsia="zh-CN"/>
              </w:rPr>
              <w:t>王龙</w:t>
            </w:r>
          </w:p>
          <w:p w14:paraId="30DCB1F0">
            <w:pPr>
              <w:rPr>
                <w:rFonts w:eastAsia="仿宋"/>
                <w:bCs/>
                <w:sz w:val="24"/>
                <w:szCs w:val="24"/>
              </w:rPr>
            </w:pPr>
          </w:p>
        </w:tc>
      </w:tr>
      <w:tr w14:paraId="28BC93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1560" w:type="dxa"/>
            <w:tcBorders>
              <w:right w:val="single" w:color="auto" w:sz="4" w:space="0"/>
            </w:tcBorders>
            <w:vAlign w:val="center"/>
          </w:tcPr>
          <w:p w14:paraId="145F5441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946" w:type="dxa"/>
            <w:tcBorders>
              <w:left w:val="single" w:color="auto" w:sz="4" w:space="0"/>
            </w:tcBorders>
            <w:vAlign w:val="center"/>
          </w:tcPr>
          <w:p w14:paraId="295D7C52">
            <w:pPr>
              <w:rPr>
                <w:rFonts w:hint="default" w:eastAsia="仿宋"/>
                <w:szCs w:val="21"/>
                <w:lang w:val="en-US" w:eastAsia="zh-CN"/>
              </w:rPr>
            </w:pPr>
            <w:r>
              <w:rPr>
                <w:rFonts w:eastAsia="仿宋"/>
                <w:szCs w:val="21"/>
              </w:rPr>
              <w:t>1.单位名称：</w:t>
            </w:r>
            <w:r>
              <w:rPr>
                <w:rFonts w:hint="eastAsia" w:eastAsia="仿宋"/>
                <w:szCs w:val="21"/>
                <w:lang w:val="en-US" w:eastAsia="zh-CN"/>
              </w:rPr>
              <w:t>宁波大学</w:t>
            </w:r>
          </w:p>
          <w:p w14:paraId="02771897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2.单位名称：</w:t>
            </w:r>
            <w:r>
              <w:rPr>
                <w:rFonts w:hint="eastAsia" w:eastAsia="仿宋"/>
                <w:szCs w:val="21"/>
                <w:lang w:val="en-US" w:eastAsia="zh-CN"/>
              </w:rPr>
              <w:t>上海</w:t>
            </w:r>
            <w:r>
              <w:rPr>
                <w:rFonts w:eastAsia="仿宋"/>
                <w:szCs w:val="21"/>
              </w:rPr>
              <w:t>大学</w:t>
            </w:r>
          </w:p>
          <w:p w14:paraId="2DF71CEE">
            <w:pPr>
              <w:rPr>
                <w:rFonts w:eastAsia="仿宋"/>
                <w:szCs w:val="21"/>
              </w:rPr>
            </w:pPr>
            <w:r>
              <w:rPr>
                <w:rFonts w:eastAsia="仿宋"/>
                <w:szCs w:val="21"/>
              </w:rPr>
              <w:t>3.单位名称：</w:t>
            </w:r>
            <w:r>
              <w:rPr>
                <w:rFonts w:hint="eastAsia" w:eastAsia="仿宋"/>
                <w:szCs w:val="21"/>
                <w:lang w:val="en-US" w:eastAsia="zh-CN"/>
              </w:rPr>
              <w:t>衢州</w:t>
            </w:r>
            <w:r>
              <w:rPr>
                <w:rFonts w:eastAsia="仿宋"/>
                <w:szCs w:val="21"/>
              </w:rPr>
              <w:t>学院</w:t>
            </w:r>
          </w:p>
          <w:p w14:paraId="35A57D16">
            <w:pPr>
              <w:rPr>
                <w:rFonts w:eastAsia="仿宋"/>
                <w:bCs/>
                <w:sz w:val="24"/>
                <w:szCs w:val="24"/>
              </w:rPr>
            </w:pPr>
          </w:p>
        </w:tc>
      </w:tr>
      <w:tr w14:paraId="00AE1B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560" w:type="dxa"/>
            <w:vAlign w:val="center"/>
          </w:tcPr>
          <w:p w14:paraId="657E0A83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946" w:type="dxa"/>
            <w:vAlign w:val="center"/>
          </w:tcPr>
          <w:p w14:paraId="2F663FE6">
            <w:pPr>
              <w:rPr>
                <w:rStyle w:val="36"/>
                <w:rFonts w:hint="default" w:eastAsia="宋体"/>
                <w:b w:val="0"/>
                <w:color w:val="auto"/>
                <w:lang w:val="en-US" w:eastAsia="zh-CN"/>
              </w:rPr>
            </w:pPr>
            <w:r>
              <w:rPr>
                <w:rFonts w:hint="eastAsia" w:eastAsia="仿宋"/>
                <w:bCs/>
                <w:szCs w:val="21"/>
                <w:lang w:val="en-US" w:eastAsia="zh-CN"/>
              </w:rPr>
              <w:t>宁波大学</w:t>
            </w:r>
          </w:p>
        </w:tc>
      </w:tr>
    </w:tbl>
    <w:p w14:paraId="6224CC12">
      <w:pPr>
        <w:adjustRightInd w:val="0"/>
        <w:snapToGrid w:val="0"/>
        <w:spacing w:line="560" w:lineRule="exact"/>
        <w:rPr>
          <w:rFonts w:eastAsia="仿宋_GB2312"/>
          <w:sz w:val="24"/>
          <w:szCs w:val="32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947C2F9-D948-4585-9717-807F0D0E85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1E542C4-AB88-42C7-A9BE-E1D2BB550D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9F8DD22-488F-4402-BF28-F91D6AFC95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472C993-7514-47DA-A750-D2EBC51F108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781A01AC-279A-4B3B-B9EE-A3458C0F6C5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CB88B55C-6332-44ED-B8EF-07BA981E5084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055003DE-A25E-4821-99A4-DD41C4ABC41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EE2505A-B41E-4985-A64F-678031CA8E5F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9" w:fontKey="{7F4C77F5-151C-485E-81DA-76D7413D67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4AF17C6F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51DE3D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49642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C20BA7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83906"/>
    <w:rsid w:val="000847FC"/>
    <w:rsid w:val="000923EB"/>
    <w:rsid w:val="000929AE"/>
    <w:rsid w:val="000A0FE4"/>
    <w:rsid w:val="000B70B3"/>
    <w:rsid w:val="000C632A"/>
    <w:rsid w:val="000E24A2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C5001"/>
    <w:rsid w:val="001D2382"/>
    <w:rsid w:val="001D3908"/>
    <w:rsid w:val="001E1DE0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573AC"/>
    <w:rsid w:val="00363C7E"/>
    <w:rsid w:val="00370977"/>
    <w:rsid w:val="00377C1C"/>
    <w:rsid w:val="00380073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118F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26C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79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47E6F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C7A98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2306"/>
    <w:rsid w:val="00793C8C"/>
    <w:rsid w:val="00793E7F"/>
    <w:rsid w:val="007940D2"/>
    <w:rsid w:val="00794B04"/>
    <w:rsid w:val="0079610B"/>
    <w:rsid w:val="00796D6C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2C5D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F1306"/>
    <w:rsid w:val="008F32A2"/>
    <w:rsid w:val="0090595F"/>
    <w:rsid w:val="0090670A"/>
    <w:rsid w:val="00906781"/>
    <w:rsid w:val="00914BD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6A2A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31D4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07048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9B0"/>
    <w:rsid w:val="00F024DB"/>
    <w:rsid w:val="00F143B1"/>
    <w:rsid w:val="00F1451E"/>
    <w:rsid w:val="00F23CF0"/>
    <w:rsid w:val="00F3777D"/>
    <w:rsid w:val="00F401BC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0F2263CF"/>
    <w:rsid w:val="0FBE6018"/>
    <w:rsid w:val="10344DD0"/>
    <w:rsid w:val="10633DCE"/>
    <w:rsid w:val="10DD4EBB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5FE291E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4671B17"/>
    <w:rsid w:val="368F078E"/>
    <w:rsid w:val="374F01EB"/>
    <w:rsid w:val="376D011C"/>
    <w:rsid w:val="38891DB8"/>
    <w:rsid w:val="38A16843"/>
    <w:rsid w:val="398F5D75"/>
    <w:rsid w:val="39A91FD3"/>
    <w:rsid w:val="3ABA7D5B"/>
    <w:rsid w:val="3ADC1D13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08963AD"/>
    <w:rsid w:val="717383BB"/>
    <w:rsid w:val="72FB5971"/>
    <w:rsid w:val="7367CFA8"/>
    <w:rsid w:val="7368470D"/>
    <w:rsid w:val="73762533"/>
    <w:rsid w:val="73F6855F"/>
    <w:rsid w:val="74507E06"/>
    <w:rsid w:val="74FB6D7E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500</Words>
  <Characters>1323</Characters>
  <Lines>12</Lines>
  <Paragraphs>3</Paragraphs>
  <TotalTime>5</TotalTime>
  <ScaleCrop>false</ScaleCrop>
  <LinksUpToDate>false</LinksUpToDate>
  <CharactersWithSpaces>1441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2023-09-14T08:41:00Z</dcterms:created>
  <dc:creator>胡胜链</dc:creator>
  <cp:lastModifiedBy>高游</cp:lastModifiedBy>
  <cp:lastPrinted>2022-01-26T01:53:00Z</cp:lastPrinted>
  <dcterms:modified xsi:type="dcterms:W3CDTF">2025-08-08T01:03:29Z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eyJoZGlkIjoiYTc2ZGZiNzZiNDVlOGViOWVmM2JhOTY0NGJkNjUyYzgiLCJ1c2VySWQiOiIzMTY5NjM0ODQifQ==</vt:lpwstr>
  </property>
</Properties>
</file>